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4A5D" w:rsidRPr="00481BEF" w:rsidRDefault="00AA4A5D" w:rsidP="00794CA8">
      <w:pPr>
        <w:pStyle w:val="Header"/>
        <w:tabs>
          <w:tab w:val="clear" w:pos="4320"/>
          <w:tab w:val="clear" w:pos="8640"/>
          <w:tab w:val="right" w:pos="9072"/>
        </w:tabs>
        <w:rPr>
          <w:rFonts w:cs="Arial"/>
          <w:b/>
          <w:bCs/>
          <w:sz w:val="22"/>
          <w:szCs w:val="22"/>
          <w:lang w:val="en-AU"/>
        </w:rPr>
      </w:pPr>
      <w:r w:rsidRPr="00481BEF">
        <w:rPr>
          <w:rFonts w:ascii="Arial" w:hAnsi="Arial" w:cs="Arial"/>
          <w:b/>
          <w:bCs/>
          <w:sz w:val="22"/>
          <w:szCs w:val="22"/>
          <w:lang w:val="en-AU"/>
        </w:rPr>
        <w:t>3GPP TSG RAN</w:t>
      </w:r>
      <w:r w:rsidR="00CD6ACB">
        <w:rPr>
          <w:rFonts w:ascii="Arial" w:hAnsi="Arial" w:cs="Arial"/>
          <w:b/>
          <w:bCs/>
          <w:sz w:val="22"/>
          <w:szCs w:val="22"/>
          <w:lang w:val="en-AU"/>
        </w:rPr>
        <w:t xml:space="preserve"> WG1 Meeting #81</w:t>
      </w:r>
      <w:r w:rsidRPr="00481BEF">
        <w:rPr>
          <w:rFonts w:ascii="Arial" w:hAnsi="Arial" w:cs="Arial"/>
          <w:b/>
          <w:bCs/>
          <w:sz w:val="22"/>
          <w:szCs w:val="22"/>
          <w:lang w:val="en-AU"/>
        </w:rPr>
        <w:tab/>
      </w:r>
      <w:r w:rsidRPr="00481BEF">
        <w:rPr>
          <w:rFonts w:ascii="Arial" w:hAnsi="Arial" w:cs="Arial"/>
          <w:b/>
          <w:bCs/>
          <w:sz w:val="22"/>
          <w:lang w:val="en-AU"/>
        </w:rPr>
        <w:t>R</w:t>
      </w:r>
      <w:r w:rsidR="008773C7">
        <w:rPr>
          <w:rFonts w:ascii="Arial" w:hAnsi="Arial" w:cs="Arial"/>
          <w:b/>
          <w:bCs/>
          <w:sz w:val="22"/>
          <w:lang w:val="en-AU"/>
        </w:rPr>
        <w:t>1</w:t>
      </w:r>
      <w:r w:rsidRPr="00481BEF">
        <w:rPr>
          <w:rFonts w:ascii="Arial" w:hAnsi="Arial" w:cs="Arial"/>
          <w:b/>
          <w:bCs/>
          <w:sz w:val="22"/>
          <w:lang w:val="en-AU"/>
        </w:rPr>
        <w:t>-1</w:t>
      </w:r>
      <w:r w:rsidR="008773C7">
        <w:rPr>
          <w:rFonts w:ascii="Arial" w:hAnsi="Arial" w:cs="Arial"/>
          <w:b/>
          <w:bCs/>
          <w:sz w:val="22"/>
          <w:lang w:val="en-AU"/>
        </w:rPr>
        <w:t>5</w:t>
      </w:r>
      <w:r w:rsidR="00C9267B">
        <w:rPr>
          <w:rFonts w:ascii="Arial" w:hAnsi="Arial" w:cs="Arial"/>
          <w:b/>
          <w:bCs/>
          <w:sz w:val="22"/>
          <w:lang w:val="en-AU"/>
        </w:rPr>
        <w:t>2678</w:t>
      </w:r>
    </w:p>
    <w:p w:rsidR="00AA4A5D" w:rsidRPr="00481BEF" w:rsidRDefault="00CD6ACB" w:rsidP="00AA4A5D">
      <w:pPr>
        <w:pStyle w:val="Header"/>
        <w:rPr>
          <w:rFonts w:ascii="Arial" w:hAnsi="Arial" w:cs="Arial"/>
          <w:b/>
          <w:bCs/>
          <w:sz w:val="22"/>
          <w:szCs w:val="22"/>
          <w:lang w:val="en-AU"/>
        </w:rPr>
      </w:pPr>
      <w:r>
        <w:rPr>
          <w:rFonts w:ascii="Arial" w:hAnsi="Arial" w:cs="Arial"/>
          <w:b/>
          <w:bCs/>
          <w:sz w:val="22"/>
          <w:szCs w:val="22"/>
          <w:lang w:val="en-AU"/>
        </w:rPr>
        <w:t>Fukuoka, JAPAN</w:t>
      </w:r>
      <w:r w:rsidR="008773C7">
        <w:rPr>
          <w:rFonts w:ascii="Arial" w:hAnsi="Arial" w:cs="Arial"/>
          <w:b/>
          <w:bCs/>
          <w:sz w:val="22"/>
          <w:szCs w:val="22"/>
          <w:lang w:val="en-AU"/>
        </w:rPr>
        <w:t>, 2</w:t>
      </w:r>
      <w:r>
        <w:rPr>
          <w:rFonts w:ascii="Arial" w:hAnsi="Arial" w:cs="Arial"/>
          <w:b/>
          <w:bCs/>
          <w:sz w:val="22"/>
          <w:szCs w:val="22"/>
          <w:lang w:val="en-AU"/>
        </w:rPr>
        <w:t>5</w:t>
      </w:r>
      <w:r w:rsidR="008773C7">
        <w:rPr>
          <w:rFonts w:ascii="Arial" w:hAnsi="Arial" w:cs="Arial"/>
          <w:b/>
          <w:bCs/>
          <w:sz w:val="22"/>
          <w:szCs w:val="22"/>
          <w:lang w:val="en-AU"/>
        </w:rPr>
        <w:t xml:space="preserve"> – </w:t>
      </w:r>
      <w:r w:rsidR="00AA4A5D" w:rsidRPr="00481BEF">
        <w:rPr>
          <w:rFonts w:ascii="Arial" w:hAnsi="Arial" w:cs="Arial"/>
          <w:b/>
          <w:bCs/>
          <w:sz w:val="22"/>
          <w:szCs w:val="22"/>
          <w:lang w:val="en-AU"/>
        </w:rPr>
        <w:t>2</w:t>
      </w:r>
      <w:r>
        <w:rPr>
          <w:rFonts w:ascii="Arial" w:hAnsi="Arial" w:cs="Arial"/>
          <w:b/>
          <w:bCs/>
          <w:sz w:val="22"/>
          <w:szCs w:val="22"/>
          <w:lang w:val="en-AU"/>
        </w:rPr>
        <w:t>9</w:t>
      </w:r>
      <w:r w:rsidR="00AA4A5D" w:rsidRPr="00481BEF">
        <w:rPr>
          <w:rFonts w:ascii="Arial" w:hAnsi="Arial" w:cs="Arial"/>
          <w:b/>
          <w:bCs/>
          <w:sz w:val="22"/>
          <w:szCs w:val="22"/>
          <w:lang w:val="en-AU"/>
        </w:rPr>
        <w:t xml:space="preserve"> </w:t>
      </w:r>
      <w:r>
        <w:rPr>
          <w:rFonts w:ascii="Arial" w:hAnsi="Arial" w:cs="Arial"/>
          <w:b/>
          <w:bCs/>
          <w:sz w:val="22"/>
          <w:szCs w:val="22"/>
          <w:lang w:val="en-AU"/>
        </w:rPr>
        <w:t>May</w:t>
      </w:r>
      <w:r w:rsidR="00AA4A5D" w:rsidRPr="00481BEF">
        <w:rPr>
          <w:rFonts w:ascii="Arial" w:hAnsi="Arial" w:cs="Arial"/>
          <w:b/>
          <w:bCs/>
          <w:sz w:val="22"/>
          <w:szCs w:val="22"/>
          <w:lang w:val="en-AU"/>
        </w:rPr>
        <w:t xml:space="preserve"> 2015</w:t>
      </w:r>
    </w:p>
    <w:p w:rsidR="00AA4A5D" w:rsidRPr="00481BEF" w:rsidRDefault="00AA4A5D" w:rsidP="00AA4A5D">
      <w:pPr>
        <w:pStyle w:val="Header"/>
        <w:rPr>
          <w:b/>
          <w:bCs/>
          <w:lang w:val="en-AU"/>
        </w:rPr>
      </w:pPr>
    </w:p>
    <w:p w:rsidR="00AA4A5D" w:rsidRPr="00481BEF" w:rsidRDefault="00AA4A5D" w:rsidP="00AA4A5D">
      <w:pPr>
        <w:tabs>
          <w:tab w:val="left" w:pos="1820"/>
        </w:tabs>
        <w:spacing w:after="60"/>
        <w:jc w:val="both"/>
        <w:rPr>
          <w:rFonts w:ascii="Arial" w:hAnsi="Arial" w:cs="Arial"/>
          <w:b/>
          <w:bCs/>
          <w:lang w:val="en-AU"/>
        </w:rPr>
      </w:pPr>
      <w:r w:rsidRPr="00481BEF">
        <w:rPr>
          <w:rFonts w:ascii="Arial" w:hAnsi="Arial" w:cs="Arial"/>
          <w:b/>
          <w:lang w:val="en-AU"/>
        </w:rPr>
        <w:t>Agenda Item:</w:t>
      </w:r>
      <w:r w:rsidR="008773C7">
        <w:rPr>
          <w:rFonts w:ascii="Arial" w:hAnsi="Arial" w:cs="Arial"/>
          <w:b/>
          <w:bCs/>
          <w:lang w:val="en-AU"/>
        </w:rPr>
        <w:tab/>
      </w:r>
      <w:r w:rsidR="00C9267B">
        <w:rPr>
          <w:rFonts w:ascii="Arial" w:hAnsi="Arial" w:cs="Arial"/>
          <w:b/>
          <w:bCs/>
          <w:lang w:val="en-AU"/>
        </w:rPr>
        <w:t>6.2.1.2</w:t>
      </w:r>
    </w:p>
    <w:p w:rsidR="00AA4A5D" w:rsidRPr="00481BEF" w:rsidRDefault="00AA4A5D" w:rsidP="00AA4A5D">
      <w:pPr>
        <w:tabs>
          <w:tab w:val="left" w:pos="1820"/>
        </w:tabs>
        <w:spacing w:after="60"/>
        <w:jc w:val="both"/>
        <w:rPr>
          <w:rFonts w:ascii="Arial" w:hAnsi="Arial" w:cs="Arial"/>
          <w:b/>
          <w:bCs/>
          <w:lang w:val="en-AU"/>
        </w:rPr>
      </w:pPr>
      <w:r w:rsidRPr="00481BEF">
        <w:rPr>
          <w:rFonts w:ascii="Arial" w:hAnsi="Arial" w:cs="Arial"/>
          <w:b/>
          <w:lang w:val="en-AU"/>
        </w:rPr>
        <w:t>Source:</w:t>
      </w:r>
      <w:r w:rsidRPr="00481BEF">
        <w:rPr>
          <w:rFonts w:ascii="Arial" w:hAnsi="Arial" w:cs="Arial"/>
          <w:b/>
          <w:bCs/>
          <w:lang w:val="en-AU"/>
        </w:rPr>
        <w:t xml:space="preserve"> </w:t>
      </w:r>
      <w:r w:rsidRPr="00481BEF">
        <w:rPr>
          <w:rFonts w:ascii="Arial" w:hAnsi="Arial" w:cs="Arial"/>
          <w:b/>
          <w:bCs/>
          <w:lang w:val="en-AU"/>
        </w:rPr>
        <w:tab/>
        <w:t>NEC</w:t>
      </w:r>
    </w:p>
    <w:p w:rsidR="00AA4A5D" w:rsidRDefault="00AA4A5D" w:rsidP="00AA4A5D">
      <w:pPr>
        <w:tabs>
          <w:tab w:val="left" w:pos="1820"/>
        </w:tabs>
        <w:spacing w:after="60"/>
        <w:ind w:left="1820" w:hanging="1820"/>
        <w:rPr>
          <w:rFonts w:ascii="Arial" w:hAnsi="Arial" w:cs="Arial"/>
          <w:b/>
          <w:bCs/>
          <w:lang w:val="en-AU"/>
        </w:rPr>
      </w:pPr>
      <w:r w:rsidRPr="00481BEF">
        <w:rPr>
          <w:rFonts w:ascii="Arial" w:hAnsi="Arial" w:cs="Arial"/>
          <w:b/>
          <w:lang w:val="en-AU"/>
        </w:rPr>
        <w:t>Title:</w:t>
      </w:r>
      <w:r w:rsidRPr="00481BEF">
        <w:rPr>
          <w:rFonts w:ascii="Arial" w:hAnsi="Arial" w:cs="Arial"/>
          <w:b/>
          <w:bCs/>
          <w:lang w:val="en-AU"/>
        </w:rPr>
        <w:tab/>
      </w:r>
      <w:r w:rsidR="00C9267B" w:rsidRPr="00C9267B">
        <w:rPr>
          <w:rFonts w:ascii="Arial" w:hAnsi="Arial" w:cs="Arial"/>
          <w:b/>
          <w:bCs/>
          <w:lang w:val="en-AU"/>
        </w:rPr>
        <w:t>Dynamic signalling of parameters for M-PDCCH</w:t>
      </w:r>
    </w:p>
    <w:p w:rsidR="00AA4A5D" w:rsidRPr="00481BEF" w:rsidRDefault="00AA4A5D" w:rsidP="00AA4A5D">
      <w:pPr>
        <w:pBdr>
          <w:bottom w:val="single" w:sz="6" w:space="7" w:color="auto"/>
        </w:pBdr>
        <w:tabs>
          <w:tab w:val="left" w:pos="1820"/>
        </w:tabs>
        <w:jc w:val="both"/>
        <w:rPr>
          <w:rFonts w:ascii="Arial" w:eastAsia="MS Mincho" w:hAnsi="Arial" w:cs="Arial"/>
          <w:b/>
          <w:bCs/>
          <w:lang w:val="en-AU" w:eastAsia="ja-JP"/>
        </w:rPr>
      </w:pPr>
      <w:r w:rsidRPr="00481BEF">
        <w:rPr>
          <w:rFonts w:ascii="Arial" w:hAnsi="Arial" w:cs="Arial"/>
          <w:b/>
          <w:lang w:val="en-AU"/>
        </w:rPr>
        <w:t>Document for:</w:t>
      </w:r>
      <w:r w:rsidRPr="00481BEF">
        <w:rPr>
          <w:rFonts w:ascii="Arial" w:hAnsi="Arial" w:cs="Arial"/>
          <w:b/>
          <w:bCs/>
          <w:lang w:val="en-AU"/>
        </w:rPr>
        <w:tab/>
      </w:r>
      <w:r w:rsidR="00907F18">
        <w:rPr>
          <w:rFonts w:ascii="Arial" w:hAnsi="Arial" w:cs="Arial"/>
          <w:b/>
          <w:bCs/>
          <w:lang w:val="en-AU"/>
        </w:rPr>
        <w:t>Discussion</w:t>
      </w:r>
      <w:r w:rsidR="008773C7">
        <w:rPr>
          <w:rFonts w:ascii="Arial" w:hAnsi="Arial" w:cs="Arial"/>
          <w:b/>
          <w:bCs/>
          <w:lang w:val="en-AU"/>
        </w:rPr>
        <w:t>/Decision</w:t>
      </w:r>
    </w:p>
    <w:p w:rsidR="00AA4A5D" w:rsidRDefault="00AA4A5D" w:rsidP="00AA4A5D">
      <w:pPr>
        <w:pStyle w:val="Heading1"/>
        <w:spacing w:after="120"/>
        <w:jc w:val="both"/>
        <w:rPr>
          <w:bCs w:val="0"/>
          <w:sz w:val="22"/>
          <w:szCs w:val="22"/>
          <w:lang w:val="en-AU"/>
        </w:rPr>
      </w:pPr>
      <w:r w:rsidRPr="00481BEF">
        <w:rPr>
          <w:bCs w:val="0"/>
          <w:sz w:val="22"/>
          <w:szCs w:val="22"/>
          <w:lang w:val="en-AU"/>
        </w:rPr>
        <w:t>Introduction</w:t>
      </w:r>
    </w:p>
    <w:p w:rsidR="00C76557" w:rsidRDefault="00C76557" w:rsidP="00EA31DD">
      <w:pPr>
        <w:spacing w:after="120"/>
        <w:jc w:val="both"/>
        <w:rPr>
          <w:bCs/>
          <w:sz w:val="22"/>
          <w:szCs w:val="22"/>
          <w:lang w:val="en-AU" w:eastAsia="en-AU"/>
        </w:rPr>
      </w:pPr>
      <w:r>
        <w:rPr>
          <w:bCs/>
          <w:sz w:val="22"/>
          <w:szCs w:val="22"/>
          <w:lang w:val="en-AU" w:eastAsia="en-AU"/>
        </w:rPr>
        <w:t>On EPDCCH decoding candidates for MTC, the following</w:t>
      </w:r>
      <w:r w:rsidR="00AB0B89">
        <w:rPr>
          <w:bCs/>
          <w:sz w:val="22"/>
          <w:szCs w:val="22"/>
          <w:lang w:val="en-AU" w:eastAsia="en-AU"/>
        </w:rPr>
        <w:t>s were agreed during</w:t>
      </w:r>
      <w:r>
        <w:rPr>
          <w:bCs/>
          <w:sz w:val="22"/>
          <w:szCs w:val="22"/>
          <w:lang w:val="en-AU" w:eastAsia="en-AU"/>
        </w:rPr>
        <w:t xml:space="preserve"> RAN1#80bis meeting [1]:</w:t>
      </w:r>
    </w:p>
    <w:p w:rsidR="00C76557" w:rsidRPr="00C76557" w:rsidRDefault="00C76557" w:rsidP="00C76557">
      <w:pPr>
        <w:tabs>
          <w:tab w:val="left" w:pos="1494"/>
        </w:tabs>
        <w:rPr>
          <w:rFonts w:eastAsia="MS Mincho"/>
          <w:b/>
          <w:sz w:val="20"/>
          <w:szCs w:val="20"/>
          <w:u w:val="single"/>
          <w:lang w:eastAsia="ja-JP"/>
        </w:rPr>
      </w:pPr>
      <w:r w:rsidRPr="00C76557">
        <w:rPr>
          <w:rFonts w:eastAsia="MS Mincho" w:hint="eastAsia"/>
          <w:b/>
          <w:sz w:val="20"/>
          <w:szCs w:val="20"/>
          <w:highlight w:val="green"/>
          <w:u w:val="single"/>
          <w:lang w:eastAsia="ja-JP"/>
        </w:rPr>
        <w:t>Agreements:</w:t>
      </w:r>
    </w:p>
    <w:p w:rsidR="00C76557" w:rsidRPr="00C76557" w:rsidRDefault="00C76557" w:rsidP="00C76557">
      <w:pPr>
        <w:numPr>
          <w:ilvl w:val="0"/>
          <w:numId w:val="16"/>
        </w:numPr>
        <w:tabs>
          <w:tab w:val="left" w:pos="1494"/>
        </w:tabs>
        <w:rPr>
          <w:rFonts w:eastAsia="MS Mincho"/>
          <w:i/>
          <w:sz w:val="20"/>
          <w:szCs w:val="20"/>
          <w:lang w:eastAsia="ja-JP"/>
        </w:rPr>
      </w:pPr>
      <w:r w:rsidRPr="00C76557">
        <w:rPr>
          <w:rFonts w:eastAsia="MS Mincho"/>
          <w:i/>
          <w:sz w:val="20"/>
          <w:szCs w:val="20"/>
          <w:lang w:eastAsia="ja-JP"/>
        </w:rPr>
        <w:t>Multiple ECCE aggregation levels and multiple numbers of repetitions are defined in specification for ‘Physical downlink control channel for MTC’</w:t>
      </w:r>
    </w:p>
    <w:p w:rsidR="00C76557" w:rsidRPr="00C76557" w:rsidRDefault="00C76557" w:rsidP="00C76557">
      <w:pPr>
        <w:numPr>
          <w:ilvl w:val="0"/>
          <w:numId w:val="16"/>
        </w:numPr>
        <w:tabs>
          <w:tab w:val="left" w:pos="1494"/>
        </w:tabs>
        <w:rPr>
          <w:rFonts w:eastAsia="MS Mincho"/>
          <w:i/>
          <w:sz w:val="20"/>
          <w:szCs w:val="20"/>
          <w:lang w:eastAsia="ja-JP"/>
        </w:rPr>
      </w:pPr>
      <w:r w:rsidRPr="00C76557">
        <w:rPr>
          <w:rFonts w:eastAsia="MS Mincho"/>
          <w:i/>
          <w:sz w:val="20"/>
          <w:szCs w:val="20"/>
          <w:lang w:eastAsia="ja-JP"/>
        </w:rPr>
        <w:t>A</w:t>
      </w:r>
      <w:bookmarkStart w:id="0" w:name="_GoBack"/>
      <w:bookmarkEnd w:id="0"/>
      <w:r w:rsidRPr="00C76557">
        <w:rPr>
          <w:rFonts w:eastAsia="MS Mincho"/>
          <w:i/>
          <w:sz w:val="20"/>
          <w:szCs w:val="20"/>
          <w:lang w:eastAsia="ja-JP"/>
        </w:rPr>
        <w:t xml:space="preserve"> set of possible combinations of {ECCE aggregation level, number of repetition} is defined in the spec</w:t>
      </w:r>
    </w:p>
    <w:p w:rsidR="00EA47D6" w:rsidRPr="00EA47D6" w:rsidRDefault="00C76557" w:rsidP="00EA47D6">
      <w:pPr>
        <w:numPr>
          <w:ilvl w:val="1"/>
          <w:numId w:val="16"/>
        </w:numPr>
        <w:tabs>
          <w:tab w:val="left" w:pos="1494"/>
        </w:tabs>
        <w:rPr>
          <w:rFonts w:eastAsia="MS Mincho"/>
          <w:i/>
          <w:sz w:val="20"/>
          <w:szCs w:val="20"/>
          <w:lang w:eastAsia="ja-JP"/>
        </w:rPr>
      </w:pPr>
      <w:r w:rsidRPr="00C76557">
        <w:rPr>
          <w:rFonts w:eastAsia="MS Mincho"/>
          <w:i/>
          <w:sz w:val="20"/>
          <w:szCs w:val="20"/>
          <w:lang w:eastAsia="ja-JP"/>
        </w:rPr>
        <w:t>FFS: what combinations of ECCE aggregation levels and numbers of repetitions to support</w:t>
      </w:r>
    </w:p>
    <w:p w:rsidR="00EA47D6" w:rsidRPr="00EA47D6" w:rsidRDefault="00EA47D6" w:rsidP="00EA47D6">
      <w:pPr>
        <w:numPr>
          <w:ilvl w:val="2"/>
          <w:numId w:val="16"/>
        </w:numPr>
        <w:tabs>
          <w:tab w:val="left" w:pos="1494"/>
        </w:tabs>
        <w:rPr>
          <w:rFonts w:eastAsia="MS Mincho"/>
          <w:i/>
          <w:sz w:val="20"/>
          <w:szCs w:val="20"/>
          <w:lang w:eastAsia="ja-JP"/>
        </w:rPr>
      </w:pPr>
      <w:r w:rsidRPr="00EA47D6">
        <w:rPr>
          <w:rFonts w:eastAsia="MS Mincho"/>
          <w:i/>
          <w:sz w:val="20"/>
          <w:szCs w:val="20"/>
          <w:lang w:eastAsia="ja-JP"/>
        </w:rPr>
        <w:t>The following earlier RAN1 agreements are not affected by the above FFS.</w:t>
      </w:r>
    </w:p>
    <w:p w:rsidR="00EA47D6" w:rsidRPr="00EA47D6" w:rsidRDefault="00EA47D6" w:rsidP="00EA47D6">
      <w:pPr>
        <w:numPr>
          <w:ilvl w:val="3"/>
          <w:numId w:val="16"/>
        </w:numPr>
        <w:tabs>
          <w:tab w:val="left" w:pos="1494"/>
        </w:tabs>
        <w:rPr>
          <w:rFonts w:eastAsia="MS Mincho"/>
          <w:i/>
          <w:sz w:val="20"/>
          <w:szCs w:val="20"/>
          <w:lang w:eastAsia="ja-JP"/>
        </w:rPr>
      </w:pPr>
      <w:r w:rsidRPr="00EA47D6">
        <w:rPr>
          <w:rFonts w:eastAsia="MS Mincho"/>
          <w:i/>
          <w:sz w:val="20"/>
          <w:szCs w:val="20"/>
          <w:lang w:eastAsia="ja-JP"/>
        </w:rPr>
        <w:t>For Rel-13 low complexity UEs in enhanced coverage and at least unicast channel at least for system BW&gt;1.4MHz</w:t>
      </w:r>
    </w:p>
    <w:p w:rsidR="00EA47D6" w:rsidRPr="00EA47D6" w:rsidRDefault="00EA47D6" w:rsidP="00EA47D6">
      <w:pPr>
        <w:numPr>
          <w:ilvl w:val="4"/>
          <w:numId w:val="16"/>
        </w:numPr>
        <w:tabs>
          <w:tab w:val="left" w:pos="1494"/>
        </w:tabs>
        <w:rPr>
          <w:rFonts w:eastAsia="MS Mincho"/>
          <w:i/>
          <w:sz w:val="20"/>
          <w:szCs w:val="20"/>
          <w:lang w:eastAsia="ja-JP"/>
        </w:rPr>
      </w:pPr>
      <w:r w:rsidRPr="00EA47D6">
        <w:rPr>
          <w:rFonts w:eastAsia="MS Mincho"/>
          <w:i/>
          <w:sz w:val="20"/>
          <w:szCs w:val="20"/>
          <w:lang w:eastAsia="ja-JP"/>
        </w:rPr>
        <w:t>For enhanced coverage UEs, one ‘Physical downlink control channel for MTC’ containing one DCI is allowed to be mapped to fully occupy available REs in 6 PRB pairs</w:t>
      </w:r>
    </w:p>
    <w:p w:rsidR="00EA47D6" w:rsidRPr="00EA47D6" w:rsidRDefault="00EA47D6" w:rsidP="00EA47D6">
      <w:pPr>
        <w:numPr>
          <w:ilvl w:val="3"/>
          <w:numId w:val="16"/>
        </w:numPr>
        <w:tabs>
          <w:tab w:val="left" w:pos="1494"/>
        </w:tabs>
        <w:rPr>
          <w:rFonts w:eastAsia="MS Mincho"/>
          <w:i/>
          <w:sz w:val="20"/>
          <w:szCs w:val="20"/>
          <w:lang w:eastAsia="ja-JP"/>
        </w:rPr>
      </w:pPr>
      <w:r w:rsidRPr="00EA47D6">
        <w:rPr>
          <w:rFonts w:eastAsia="MS Mincho"/>
          <w:i/>
          <w:sz w:val="20"/>
          <w:szCs w:val="20"/>
          <w:lang w:eastAsia="ja-JP"/>
        </w:rPr>
        <w:t>In a subframe, a maximum aggregation level equivalent of L=24 ECCE is introduced for LC/CE UEs</w:t>
      </w:r>
    </w:p>
    <w:p w:rsidR="00C76557" w:rsidRPr="00C76557" w:rsidRDefault="00C76557" w:rsidP="00C76557">
      <w:pPr>
        <w:numPr>
          <w:ilvl w:val="1"/>
          <w:numId w:val="16"/>
        </w:numPr>
        <w:tabs>
          <w:tab w:val="left" w:pos="1494"/>
        </w:tabs>
        <w:rPr>
          <w:rFonts w:eastAsia="MS Mincho"/>
          <w:i/>
          <w:sz w:val="20"/>
          <w:szCs w:val="20"/>
          <w:lang w:eastAsia="ja-JP"/>
        </w:rPr>
      </w:pPr>
      <w:r w:rsidRPr="00C76557">
        <w:rPr>
          <w:rFonts w:eastAsia="MS Mincho"/>
          <w:i/>
          <w:sz w:val="20"/>
          <w:szCs w:val="20"/>
          <w:lang w:eastAsia="ja-JP"/>
        </w:rPr>
        <w:t>FFS: how to define starting ECCE indices</w:t>
      </w:r>
    </w:p>
    <w:p w:rsidR="00C76557" w:rsidRPr="00EA47D6" w:rsidRDefault="00C76557" w:rsidP="00C76557">
      <w:pPr>
        <w:numPr>
          <w:ilvl w:val="0"/>
          <w:numId w:val="16"/>
        </w:numPr>
        <w:tabs>
          <w:tab w:val="left" w:pos="1494"/>
        </w:tabs>
        <w:rPr>
          <w:rFonts w:eastAsia="MS Mincho"/>
          <w:i/>
          <w:sz w:val="20"/>
          <w:szCs w:val="20"/>
          <w:lang w:eastAsia="ja-JP"/>
        </w:rPr>
      </w:pPr>
      <w:r w:rsidRPr="00EA47D6">
        <w:rPr>
          <w:rFonts w:eastAsia="MS Mincho"/>
          <w:i/>
          <w:sz w:val="20"/>
          <w:szCs w:val="20"/>
          <w:lang w:eastAsia="ja-JP"/>
        </w:rPr>
        <w:t>A subset of the above set of combinations can be semi-statically configured for constructing a UE-specific search space for ‘Physical downlink control channel for MTC’ by higher-layer signaling</w:t>
      </w:r>
    </w:p>
    <w:p w:rsidR="00C76557" w:rsidRPr="00EA47D6" w:rsidRDefault="00C76557" w:rsidP="00C76557">
      <w:pPr>
        <w:numPr>
          <w:ilvl w:val="1"/>
          <w:numId w:val="16"/>
        </w:numPr>
        <w:tabs>
          <w:tab w:val="left" w:pos="1494"/>
        </w:tabs>
        <w:rPr>
          <w:rFonts w:eastAsia="MS Mincho"/>
          <w:i/>
          <w:sz w:val="20"/>
          <w:szCs w:val="20"/>
          <w:lang w:eastAsia="ja-JP"/>
        </w:rPr>
      </w:pPr>
      <w:r w:rsidRPr="00EA47D6">
        <w:rPr>
          <w:rFonts w:eastAsia="MS Mincho"/>
          <w:i/>
          <w:sz w:val="20"/>
          <w:szCs w:val="20"/>
          <w:lang w:eastAsia="ja-JP"/>
        </w:rPr>
        <w:t>If configured by higher-layer signaling, it is FFS whether signaling is implicit or explicit.</w:t>
      </w:r>
    </w:p>
    <w:p w:rsidR="00C76557" w:rsidRPr="00EA47D6" w:rsidRDefault="00C76557" w:rsidP="00C76557">
      <w:pPr>
        <w:numPr>
          <w:ilvl w:val="1"/>
          <w:numId w:val="16"/>
        </w:numPr>
        <w:tabs>
          <w:tab w:val="left" w:pos="1494"/>
        </w:tabs>
        <w:rPr>
          <w:rFonts w:eastAsia="MS Mincho"/>
          <w:i/>
          <w:sz w:val="20"/>
          <w:szCs w:val="20"/>
          <w:lang w:eastAsia="ja-JP"/>
        </w:rPr>
      </w:pPr>
      <w:r w:rsidRPr="00EA47D6">
        <w:rPr>
          <w:rFonts w:eastAsia="MS Mincho"/>
          <w:i/>
          <w:sz w:val="20"/>
          <w:szCs w:val="20"/>
          <w:lang w:eastAsia="ja-JP"/>
        </w:rPr>
        <w:t>Parameters defining an ‘Physical downlink control channel for MTC’ blind decoding candidate in a UE-specific search space (USS) include at least an ECCE aggregation level and a number of repetitions</w:t>
      </w:r>
    </w:p>
    <w:p w:rsidR="00C76557" w:rsidRPr="00EA47D6" w:rsidRDefault="00C76557" w:rsidP="00C76557">
      <w:pPr>
        <w:numPr>
          <w:ilvl w:val="1"/>
          <w:numId w:val="16"/>
        </w:numPr>
        <w:tabs>
          <w:tab w:val="left" w:pos="1494"/>
        </w:tabs>
        <w:rPr>
          <w:rFonts w:eastAsia="MS Mincho"/>
          <w:i/>
          <w:sz w:val="20"/>
          <w:szCs w:val="20"/>
          <w:lang w:eastAsia="ja-JP"/>
        </w:rPr>
      </w:pPr>
      <w:r w:rsidRPr="00EA47D6">
        <w:rPr>
          <w:rFonts w:eastAsia="MS Mincho" w:hint="eastAsia"/>
          <w:i/>
          <w:sz w:val="20"/>
          <w:szCs w:val="20"/>
          <w:lang w:eastAsia="ja-JP"/>
        </w:rPr>
        <w:t>FFS: Other signaling mechanisms and parameters in addition to above set of combinations for constructing UE specific search space</w:t>
      </w:r>
    </w:p>
    <w:p w:rsidR="005B3132" w:rsidRPr="00EA31DD" w:rsidRDefault="003A0F58" w:rsidP="00684034">
      <w:pPr>
        <w:spacing w:before="120" w:after="120"/>
        <w:jc w:val="both"/>
        <w:rPr>
          <w:bCs/>
          <w:sz w:val="22"/>
          <w:szCs w:val="22"/>
          <w:lang w:val="en-AU" w:eastAsia="en-AU"/>
        </w:rPr>
      </w:pPr>
      <w:r>
        <w:rPr>
          <w:bCs/>
          <w:sz w:val="22"/>
          <w:szCs w:val="22"/>
          <w:lang w:val="en-AU" w:eastAsia="en-AU"/>
        </w:rPr>
        <w:t xml:space="preserve">In this contribution, we provide </w:t>
      </w:r>
      <w:r w:rsidR="00C8768A">
        <w:rPr>
          <w:bCs/>
          <w:sz w:val="22"/>
          <w:szCs w:val="22"/>
          <w:lang w:val="en-AU" w:eastAsia="en-AU"/>
        </w:rPr>
        <w:t xml:space="preserve">discussions and </w:t>
      </w:r>
      <w:r w:rsidR="00E36FC5">
        <w:rPr>
          <w:bCs/>
          <w:sz w:val="22"/>
          <w:szCs w:val="22"/>
          <w:lang w:val="en-AU" w:eastAsia="en-AU"/>
        </w:rPr>
        <w:t>analysis</w:t>
      </w:r>
      <w:r w:rsidR="00C8768A">
        <w:rPr>
          <w:bCs/>
          <w:sz w:val="22"/>
          <w:szCs w:val="22"/>
          <w:lang w:val="en-AU" w:eastAsia="en-AU"/>
        </w:rPr>
        <w:t xml:space="preserve"> on </w:t>
      </w:r>
      <w:r w:rsidR="000F440B">
        <w:rPr>
          <w:bCs/>
          <w:sz w:val="22"/>
          <w:szCs w:val="22"/>
          <w:lang w:val="en-AU" w:eastAsia="en-AU"/>
        </w:rPr>
        <w:t>possible</w:t>
      </w:r>
      <w:r w:rsidR="00C8768A">
        <w:rPr>
          <w:bCs/>
          <w:sz w:val="22"/>
          <w:szCs w:val="22"/>
          <w:lang w:val="en-AU" w:eastAsia="en-AU"/>
        </w:rPr>
        <w:t xml:space="preserve"> </w:t>
      </w:r>
      <w:r w:rsidR="000F440B">
        <w:rPr>
          <w:bCs/>
          <w:sz w:val="22"/>
          <w:szCs w:val="22"/>
          <w:lang w:val="en-AU" w:eastAsia="en-AU"/>
        </w:rPr>
        <w:t xml:space="preserve">signalling mechanisms for indicating the combination subset </w:t>
      </w:r>
      <w:r w:rsidR="00E36FC5">
        <w:rPr>
          <w:bCs/>
          <w:sz w:val="22"/>
          <w:szCs w:val="22"/>
          <w:lang w:val="en-AU" w:eastAsia="en-AU"/>
        </w:rPr>
        <w:t xml:space="preserve">that </w:t>
      </w:r>
      <w:r w:rsidR="000F440B">
        <w:rPr>
          <w:bCs/>
          <w:sz w:val="22"/>
          <w:szCs w:val="22"/>
          <w:lang w:val="en-AU" w:eastAsia="en-AU"/>
        </w:rPr>
        <w:t xml:space="preserve">could be </w:t>
      </w:r>
      <w:r w:rsidR="00E36FC5">
        <w:rPr>
          <w:bCs/>
          <w:sz w:val="22"/>
          <w:szCs w:val="22"/>
          <w:lang w:val="en-AU" w:eastAsia="en-AU"/>
        </w:rPr>
        <w:t>considered</w:t>
      </w:r>
      <w:r w:rsidR="000F440B">
        <w:rPr>
          <w:bCs/>
          <w:sz w:val="22"/>
          <w:szCs w:val="22"/>
          <w:lang w:val="en-AU" w:eastAsia="en-AU"/>
        </w:rPr>
        <w:t xml:space="preserve"> to reduce UE processing complexity</w:t>
      </w:r>
      <w:r w:rsidR="004E3A8C">
        <w:rPr>
          <w:bCs/>
          <w:sz w:val="22"/>
          <w:szCs w:val="22"/>
          <w:lang w:val="en-AU" w:eastAsia="en-AU"/>
        </w:rPr>
        <w:t xml:space="preserve"> and power consumption</w:t>
      </w:r>
      <w:r w:rsidR="000F440B">
        <w:rPr>
          <w:bCs/>
          <w:sz w:val="22"/>
          <w:szCs w:val="22"/>
          <w:lang w:val="en-AU" w:eastAsia="en-AU"/>
        </w:rPr>
        <w:t>.</w:t>
      </w:r>
    </w:p>
    <w:p w:rsidR="00AA4A5D" w:rsidRPr="00481BEF" w:rsidRDefault="008773C7" w:rsidP="00AA4A5D">
      <w:pPr>
        <w:pStyle w:val="Heading1"/>
        <w:spacing w:after="120"/>
        <w:rPr>
          <w:sz w:val="22"/>
          <w:szCs w:val="22"/>
          <w:lang w:val="en-AU" w:eastAsia="en-AU"/>
        </w:rPr>
      </w:pPr>
      <w:r>
        <w:rPr>
          <w:sz w:val="22"/>
          <w:szCs w:val="22"/>
          <w:lang w:val="en-AU" w:eastAsia="en-AU"/>
        </w:rPr>
        <w:t>Discussion</w:t>
      </w:r>
    </w:p>
    <w:p w:rsidR="00684034" w:rsidRPr="00BF0F7D" w:rsidRDefault="00684034" w:rsidP="00684034">
      <w:pPr>
        <w:spacing w:after="120"/>
        <w:jc w:val="both"/>
        <w:rPr>
          <w:sz w:val="22"/>
          <w:lang w:val="en-AU"/>
        </w:rPr>
      </w:pPr>
      <w:r w:rsidRPr="00BF0F7D">
        <w:rPr>
          <w:sz w:val="22"/>
          <w:lang w:val="en-AU"/>
        </w:rPr>
        <w:t>For coverage enhancement of ‘physical downlink control channel for MTC’ (</w:t>
      </w:r>
      <w:r w:rsidR="00DD4F44">
        <w:rPr>
          <w:sz w:val="22"/>
          <w:lang w:val="en-AU"/>
        </w:rPr>
        <w:t>EPDCCH</w:t>
      </w:r>
      <w:r w:rsidRPr="00BF0F7D">
        <w:rPr>
          <w:sz w:val="22"/>
          <w:lang w:val="en-AU"/>
        </w:rPr>
        <w:t xml:space="preserve">), repeated transmission of same </w:t>
      </w:r>
      <w:r w:rsidR="00DD4F44">
        <w:rPr>
          <w:sz w:val="22"/>
          <w:lang w:val="en-AU"/>
        </w:rPr>
        <w:t>EPDCCH</w:t>
      </w:r>
      <w:r w:rsidRPr="00BF0F7D">
        <w:rPr>
          <w:sz w:val="22"/>
          <w:lang w:val="en-AU"/>
        </w:rPr>
        <w:t xml:space="preserve"> or its DCI from the serving cell is </w:t>
      </w:r>
      <w:r>
        <w:rPr>
          <w:sz w:val="22"/>
          <w:lang w:val="en-AU"/>
        </w:rPr>
        <w:t xml:space="preserve">currently being </w:t>
      </w:r>
      <w:r w:rsidRPr="00BF0F7D">
        <w:rPr>
          <w:sz w:val="22"/>
          <w:lang w:val="en-AU"/>
        </w:rPr>
        <w:t xml:space="preserve">considered as the main mechanism for improving decoding performance of </w:t>
      </w:r>
      <w:r>
        <w:rPr>
          <w:sz w:val="22"/>
          <w:lang w:val="en-AU"/>
        </w:rPr>
        <w:t xml:space="preserve">downlink control information for </w:t>
      </w:r>
      <w:r w:rsidRPr="00BF0F7D">
        <w:rPr>
          <w:sz w:val="22"/>
          <w:lang w:val="en-AU"/>
        </w:rPr>
        <w:t xml:space="preserve">MTC devices in poor coverage area. As MTC devices within the same serving cell are most likely subject to different coverage </w:t>
      </w:r>
      <w:r w:rsidR="00DD4F44">
        <w:rPr>
          <w:sz w:val="22"/>
          <w:lang w:val="en-AU"/>
        </w:rPr>
        <w:t>and channel condition</w:t>
      </w:r>
      <w:r w:rsidRPr="00BF0F7D">
        <w:rPr>
          <w:sz w:val="22"/>
          <w:lang w:val="en-AU"/>
        </w:rPr>
        <w:t xml:space="preserve">, different repetition levels of </w:t>
      </w:r>
      <w:r w:rsidR="00DD4F44">
        <w:rPr>
          <w:sz w:val="22"/>
          <w:lang w:val="en-AU"/>
        </w:rPr>
        <w:t>E</w:t>
      </w:r>
      <w:r w:rsidRPr="00BF0F7D">
        <w:rPr>
          <w:sz w:val="22"/>
          <w:lang w:val="en-AU"/>
        </w:rPr>
        <w:t>PDCCH in the time domain as per current agreement would seem necessary for different level of coverage enhancement</w:t>
      </w:r>
      <w:r w:rsidR="00DD4F44">
        <w:rPr>
          <w:sz w:val="22"/>
          <w:lang w:val="en-AU"/>
        </w:rPr>
        <w:t>.</w:t>
      </w:r>
    </w:p>
    <w:p w:rsidR="00684034" w:rsidRDefault="00684034" w:rsidP="00DD4F44">
      <w:pPr>
        <w:spacing w:after="120"/>
        <w:jc w:val="both"/>
        <w:rPr>
          <w:bCs/>
          <w:sz w:val="22"/>
          <w:szCs w:val="22"/>
          <w:lang w:val="en-AU" w:eastAsia="en-AU"/>
        </w:rPr>
      </w:pPr>
      <w:r w:rsidRPr="001F7FEF">
        <w:rPr>
          <w:sz w:val="22"/>
          <w:lang w:val="en-AU"/>
        </w:rPr>
        <w:t xml:space="preserve">Typically, there may be 2, 3 or </w:t>
      </w:r>
      <w:r w:rsidRPr="001F7FEF">
        <w:rPr>
          <w:sz w:val="22"/>
        </w:rPr>
        <w:t xml:space="preserve">4 coverage improvement levels for </w:t>
      </w:r>
      <w:r w:rsidR="00DD4F44">
        <w:rPr>
          <w:sz w:val="22"/>
        </w:rPr>
        <w:t>the E</w:t>
      </w:r>
      <w:r w:rsidRPr="001F7FEF">
        <w:rPr>
          <w:sz w:val="22"/>
        </w:rPr>
        <w:t>PDCCH at {3.4dB, 6.8dB, 10.2dB, 13.6dB}.</w:t>
      </w:r>
      <w:r w:rsidRPr="001F7FEF">
        <w:rPr>
          <w:sz w:val="22"/>
          <w:lang w:val="en-AU"/>
        </w:rPr>
        <w:t xml:space="preserve"> In order to obtain the maximum 13.6dB coverage enhancement for example, </w:t>
      </w:r>
      <w:proofErr w:type="gramStart"/>
      <w:r w:rsidRPr="001F7FEF">
        <w:rPr>
          <w:sz w:val="22"/>
          <w:lang w:val="en-AU"/>
        </w:rPr>
        <w:t>a</w:t>
      </w:r>
      <w:proofErr w:type="gramEnd"/>
      <w:r w:rsidRPr="001F7FEF">
        <w:rPr>
          <w:sz w:val="22"/>
          <w:lang w:val="en-AU"/>
        </w:rPr>
        <w:t xml:space="preserve"> </w:t>
      </w:r>
      <w:r w:rsidR="00882D25">
        <w:rPr>
          <w:sz w:val="22"/>
          <w:lang w:val="en-AU"/>
        </w:rPr>
        <w:t>E</w:t>
      </w:r>
      <w:r w:rsidRPr="001F7FEF">
        <w:rPr>
          <w:sz w:val="22"/>
          <w:lang w:val="en-AU"/>
        </w:rPr>
        <w:t>PDCCH transmission would be repeated as many as 75 times or more. If a MTC UE always try to store and accumulate control information transmitted in 75 downlink subframes be</w:t>
      </w:r>
      <w:r w:rsidR="00DD4F44">
        <w:rPr>
          <w:sz w:val="22"/>
          <w:lang w:val="en-AU"/>
        </w:rPr>
        <w:t>fore attempting to decode E</w:t>
      </w:r>
      <w:r w:rsidRPr="001F7FEF">
        <w:rPr>
          <w:sz w:val="22"/>
          <w:lang w:val="en-AU"/>
        </w:rPr>
        <w:t xml:space="preserve">PDCCH regardless of whether or not the </w:t>
      </w:r>
      <w:r w:rsidR="00DD4F44">
        <w:rPr>
          <w:sz w:val="22"/>
          <w:lang w:val="en-AU"/>
        </w:rPr>
        <w:t>E</w:t>
      </w:r>
      <w:r w:rsidRPr="001F7FEF">
        <w:rPr>
          <w:sz w:val="22"/>
          <w:lang w:val="en-AU"/>
        </w:rPr>
        <w:t>PDCCH transmission is intended for the UE, significant amount of power consumption and UE buffer would be was</w:t>
      </w:r>
      <w:r>
        <w:rPr>
          <w:sz w:val="22"/>
          <w:lang w:val="en-AU"/>
        </w:rPr>
        <w:t>ted when the</w:t>
      </w:r>
      <w:r w:rsidR="00882D25">
        <w:rPr>
          <w:sz w:val="22"/>
          <w:lang w:val="en-AU"/>
        </w:rPr>
        <w:t>re is no</w:t>
      </w:r>
      <w:r w:rsidRPr="001F7FEF">
        <w:rPr>
          <w:sz w:val="22"/>
          <w:lang w:val="en-AU"/>
        </w:rPr>
        <w:t xml:space="preserve"> </w:t>
      </w:r>
      <w:r w:rsidR="00DD4F44">
        <w:rPr>
          <w:sz w:val="22"/>
          <w:lang w:val="en-AU"/>
        </w:rPr>
        <w:t>E</w:t>
      </w:r>
      <w:r w:rsidRPr="001F7FEF">
        <w:rPr>
          <w:sz w:val="22"/>
          <w:lang w:val="en-AU"/>
        </w:rPr>
        <w:t>PDCCH transmitted</w:t>
      </w:r>
      <w:r w:rsidR="00882D25">
        <w:rPr>
          <w:sz w:val="22"/>
          <w:lang w:val="en-AU"/>
        </w:rPr>
        <w:t xml:space="preserve"> or the EPDCCH is intended</w:t>
      </w:r>
      <w:r w:rsidRPr="001F7FEF">
        <w:rPr>
          <w:sz w:val="22"/>
          <w:lang w:val="en-AU"/>
        </w:rPr>
        <w:t xml:space="preserve"> for another UE. In order to operate efficiently and to save power consumption, it is beneficial for </w:t>
      </w:r>
      <w:r w:rsidR="00882D25">
        <w:rPr>
          <w:sz w:val="22"/>
          <w:lang w:val="en-AU"/>
        </w:rPr>
        <w:t xml:space="preserve">a </w:t>
      </w:r>
      <w:r w:rsidRPr="001F7FEF">
        <w:rPr>
          <w:sz w:val="22"/>
          <w:lang w:val="en-AU"/>
        </w:rPr>
        <w:t xml:space="preserve">UE to know in advance whether there will be </w:t>
      </w:r>
      <w:proofErr w:type="gramStart"/>
      <w:r w:rsidRPr="001F7FEF">
        <w:rPr>
          <w:sz w:val="22"/>
          <w:lang w:val="en-AU"/>
        </w:rPr>
        <w:t>a</w:t>
      </w:r>
      <w:proofErr w:type="gramEnd"/>
      <w:r w:rsidRPr="001F7FEF">
        <w:rPr>
          <w:sz w:val="22"/>
          <w:lang w:val="en-AU"/>
        </w:rPr>
        <w:t xml:space="preserve"> </w:t>
      </w:r>
      <w:r w:rsidR="00DD4F44">
        <w:rPr>
          <w:sz w:val="22"/>
          <w:lang w:val="en-AU"/>
        </w:rPr>
        <w:t>E</w:t>
      </w:r>
      <w:r w:rsidRPr="001F7FEF">
        <w:rPr>
          <w:sz w:val="22"/>
          <w:lang w:val="en-AU"/>
        </w:rPr>
        <w:t xml:space="preserve">PDCCH </w:t>
      </w:r>
      <w:r w:rsidRPr="001F7FEF">
        <w:rPr>
          <w:sz w:val="22"/>
          <w:lang w:val="en-AU"/>
        </w:rPr>
        <w:lastRenderedPageBreak/>
        <w:t xml:space="preserve">transmitted for it or not and the </w:t>
      </w:r>
      <w:r>
        <w:rPr>
          <w:sz w:val="22"/>
          <w:lang w:val="en-AU"/>
        </w:rPr>
        <w:t>repetition level for the associated</w:t>
      </w:r>
      <w:r w:rsidRPr="001F7FEF">
        <w:rPr>
          <w:sz w:val="22"/>
          <w:lang w:val="en-AU"/>
        </w:rPr>
        <w:t xml:space="preserve"> </w:t>
      </w:r>
      <w:r w:rsidR="00DD4F44">
        <w:rPr>
          <w:sz w:val="22"/>
          <w:lang w:val="en-AU"/>
        </w:rPr>
        <w:t>E</w:t>
      </w:r>
      <w:r w:rsidRPr="001F7FEF">
        <w:rPr>
          <w:sz w:val="22"/>
          <w:lang w:val="en-AU"/>
        </w:rPr>
        <w:t>PDCCH transmission.</w:t>
      </w:r>
      <w:r>
        <w:rPr>
          <w:sz w:val="22"/>
          <w:lang w:val="en-AU"/>
        </w:rPr>
        <w:t xml:space="preserve"> </w:t>
      </w:r>
      <w:r w:rsidRPr="001F7FEF">
        <w:rPr>
          <w:bCs/>
          <w:sz w:val="22"/>
          <w:szCs w:val="22"/>
        </w:rPr>
        <w:t>That is,</w:t>
      </w:r>
      <w:r w:rsidRPr="001F7FEF">
        <w:rPr>
          <w:bCs/>
          <w:sz w:val="22"/>
          <w:szCs w:val="22"/>
          <w:lang w:val="en-AU" w:eastAsia="en-AU"/>
        </w:rPr>
        <w:t xml:space="preserve"> no processing power </w:t>
      </w:r>
      <w:r w:rsidRPr="001F7FEF">
        <w:rPr>
          <w:bCs/>
          <w:sz w:val="22"/>
          <w:szCs w:val="22"/>
        </w:rPr>
        <w:t>wasted on detecting unintended/unnecessary</w:t>
      </w:r>
      <w:r w:rsidRPr="001F7FEF">
        <w:rPr>
          <w:bCs/>
          <w:sz w:val="22"/>
          <w:szCs w:val="22"/>
          <w:lang w:val="en-AU" w:eastAsia="en-AU"/>
        </w:rPr>
        <w:t xml:space="preserve"> </w:t>
      </w:r>
      <w:r w:rsidR="00DD4F44">
        <w:rPr>
          <w:bCs/>
          <w:sz w:val="22"/>
          <w:szCs w:val="22"/>
        </w:rPr>
        <w:t>E</w:t>
      </w:r>
      <w:r w:rsidRPr="001F7FEF">
        <w:rPr>
          <w:bCs/>
          <w:sz w:val="22"/>
          <w:szCs w:val="22"/>
        </w:rPr>
        <w:t>PDCCH and its repetitions</w:t>
      </w:r>
      <w:r w:rsidRPr="001F7FEF">
        <w:rPr>
          <w:bCs/>
          <w:sz w:val="22"/>
          <w:szCs w:val="22"/>
          <w:lang w:val="en-AU" w:eastAsia="en-AU"/>
        </w:rPr>
        <w:t>.</w:t>
      </w:r>
    </w:p>
    <w:p w:rsidR="00DD4F44" w:rsidRDefault="00882D25" w:rsidP="00684034">
      <w:pPr>
        <w:spacing w:after="240"/>
        <w:jc w:val="both"/>
        <w:rPr>
          <w:bCs/>
          <w:sz w:val="22"/>
          <w:szCs w:val="22"/>
          <w:lang w:val="en-AU" w:eastAsia="en-AU"/>
        </w:rPr>
      </w:pPr>
      <w:r>
        <w:rPr>
          <w:bCs/>
          <w:sz w:val="22"/>
          <w:szCs w:val="22"/>
          <w:lang w:val="en-AU" w:eastAsia="en-AU"/>
        </w:rPr>
        <w:t>In the last meeting, i</w:t>
      </w:r>
      <w:r w:rsidR="00DD4F44">
        <w:rPr>
          <w:bCs/>
          <w:sz w:val="22"/>
          <w:szCs w:val="22"/>
          <w:lang w:val="en-AU" w:eastAsia="en-AU"/>
        </w:rPr>
        <w:t xml:space="preserve">n order to reduce processing complexity for low-complexity MTC UEs operating in coverage enhanced mode, it was agreed to indicate EPDCCH decoding candidates to the UE by means of signalling a set of combinations of {ECCE aggregation level, number of repetition} that the UE should monitor and </w:t>
      </w:r>
      <w:r>
        <w:rPr>
          <w:bCs/>
          <w:sz w:val="22"/>
          <w:szCs w:val="22"/>
          <w:lang w:val="en-AU" w:eastAsia="en-AU"/>
        </w:rPr>
        <w:t>perform blind decoding</w:t>
      </w:r>
      <w:r w:rsidR="00DD4F44">
        <w:rPr>
          <w:bCs/>
          <w:sz w:val="22"/>
          <w:szCs w:val="22"/>
          <w:lang w:val="en-AU" w:eastAsia="en-AU"/>
        </w:rPr>
        <w:t xml:space="preserve">. In the following </w:t>
      </w:r>
      <w:r w:rsidR="00FF4858">
        <w:rPr>
          <w:bCs/>
          <w:sz w:val="22"/>
          <w:szCs w:val="22"/>
          <w:lang w:val="en-AU" w:eastAsia="en-AU"/>
        </w:rPr>
        <w:t xml:space="preserve">sections, </w:t>
      </w:r>
      <w:r w:rsidR="00ED7609">
        <w:rPr>
          <w:bCs/>
          <w:sz w:val="22"/>
          <w:szCs w:val="22"/>
          <w:lang w:val="en-AU" w:eastAsia="en-AU"/>
        </w:rPr>
        <w:t xml:space="preserve">different signalling mechanisms of providing </w:t>
      </w:r>
      <w:r w:rsidR="00A84AE3">
        <w:rPr>
          <w:bCs/>
          <w:sz w:val="22"/>
          <w:szCs w:val="22"/>
          <w:lang w:val="en-AU" w:eastAsia="en-AU"/>
        </w:rPr>
        <w:t>parameter combination set</w:t>
      </w:r>
      <w:r w:rsidR="00ED7609">
        <w:rPr>
          <w:bCs/>
          <w:sz w:val="22"/>
          <w:szCs w:val="22"/>
          <w:lang w:val="en-AU" w:eastAsia="en-AU"/>
        </w:rPr>
        <w:t xml:space="preserve"> to the UE are</w:t>
      </w:r>
      <w:r w:rsidR="00FF4858">
        <w:rPr>
          <w:bCs/>
          <w:sz w:val="22"/>
          <w:szCs w:val="22"/>
          <w:lang w:val="en-AU" w:eastAsia="en-AU"/>
        </w:rPr>
        <w:t xml:space="preserve"> discussed.</w:t>
      </w:r>
    </w:p>
    <w:p w:rsidR="00BC39F5" w:rsidRPr="00BC39F5" w:rsidRDefault="00CE5D09" w:rsidP="00BC39F5">
      <w:pPr>
        <w:pStyle w:val="Heading2"/>
        <w:tabs>
          <w:tab w:val="clear" w:pos="2694"/>
          <w:tab w:val="num" w:pos="567"/>
        </w:tabs>
        <w:spacing w:after="120"/>
        <w:ind w:left="567"/>
        <w:rPr>
          <w:sz w:val="22"/>
          <w:lang w:val="en-AU"/>
        </w:rPr>
      </w:pPr>
      <w:r>
        <w:rPr>
          <w:sz w:val="22"/>
          <w:lang w:val="en-AU"/>
        </w:rPr>
        <w:t>Semi-static configuration by higher-layer signalling</w:t>
      </w:r>
    </w:p>
    <w:p w:rsidR="005E12C0" w:rsidRDefault="00DD4F44" w:rsidP="00EA31DD">
      <w:pPr>
        <w:spacing w:after="120"/>
        <w:jc w:val="both"/>
        <w:rPr>
          <w:bCs/>
          <w:sz w:val="22"/>
          <w:szCs w:val="22"/>
          <w:lang w:val="en-AU" w:eastAsia="en-AU"/>
        </w:rPr>
      </w:pPr>
      <w:r>
        <w:rPr>
          <w:bCs/>
          <w:sz w:val="22"/>
          <w:szCs w:val="22"/>
          <w:lang w:val="en-AU" w:eastAsia="en-AU"/>
        </w:rPr>
        <w:t xml:space="preserve">As </w:t>
      </w:r>
      <w:r w:rsidR="00ED7609">
        <w:rPr>
          <w:bCs/>
          <w:sz w:val="22"/>
          <w:szCs w:val="22"/>
          <w:lang w:val="en-AU" w:eastAsia="en-AU"/>
        </w:rPr>
        <w:t xml:space="preserve">agreed in [1], one possible signalling mechanism of </w:t>
      </w:r>
      <w:r w:rsidR="00CB562C">
        <w:rPr>
          <w:bCs/>
          <w:sz w:val="22"/>
          <w:szCs w:val="22"/>
          <w:lang w:val="en-AU" w:eastAsia="en-AU"/>
        </w:rPr>
        <w:t>providing</w:t>
      </w:r>
      <w:r w:rsidR="00ED7609">
        <w:rPr>
          <w:bCs/>
          <w:sz w:val="22"/>
          <w:szCs w:val="22"/>
          <w:lang w:val="en-AU" w:eastAsia="en-AU"/>
        </w:rPr>
        <w:t xml:space="preserve"> a set of combinations of {ECCE aggregation level, number of repetition} is by semi-static configuration using higher-layer signalling  to </w:t>
      </w:r>
      <w:r w:rsidR="00CE449F">
        <w:rPr>
          <w:bCs/>
          <w:sz w:val="22"/>
          <w:szCs w:val="22"/>
          <w:lang w:val="en-AU" w:eastAsia="en-AU"/>
        </w:rPr>
        <w:t>a MTC UE</w:t>
      </w:r>
      <w:r w:rsidR="00ED7609">
        <w:rPr>
          <w:bCs/>
          <w:sz w:val="22"/>
          <w:szCs w:val="22"/>
          <w:lang w:val="en-AU" w:eastAsia="en-AU"/>
        </w:rPr>
        <w:t>. If the explicit method of RRC configuration is used, ideally the eNB should configure the UE with just the right ECCE aggregation level and number of repetition (one combination</w:t>
      </w:r>
      <w:r w:rsidR="002C0A85">
        <w:rPr>
          <w:bCs/>
          <w:sz w:val="22"/>
          <w:szCs w:val="22"/>
          <w:lang w:val="en-AU" w:eastAsia="en-AU"/>
        </w:rPr>
        <w:t xml:space="preserve"> only</w:t>
      </w:r>
      <w:r w:rsidR="00ED7609">
        <w:rPr>
          <w:bCs/>
          <w:sz w:val="22"/>
          <w:szCs w:val="22"/>
          <w:lang w:val="en-AU" w:eastAsia="en-AU"/>
        </w:rPr>
        <w:t>) for the UE to perform blind decoding [2]. However, in order to account for possible coverage and channel condition change at the UE, it is more practical for the eNB to configure a set of multiple combinations such that it can adaptively select a right combination that is more appropriate for transmitting EPDCCH</w:t>
      </w:r>
      <w:r w:rsidR="002C0A85">
        <w:rPr>
          <w:bCs/>
          <w:sz w:val="22"/>
          <w:szCs w:val="22"/>
          <w:lang w:val="en-AU" w:eastAsia="en-AU"/>
        </w:rPr>
        <w:t xml:space="preserve"> for the UE</w:t>
      </w:r>
      <w:r w:rsidR="00ED7609">
        <w:rPr>
          <w:bCs/>
          <w:sz w:val="22"/>
          <w:szCs w:val="22"/>
          <w:lang w:val="en-AU" w:eastAsia="en-AU"/>
        </w:rPr>
        <w:t xml:space="preserve">. Otherwise, the eNB may not be able to communicate with the UE any longer if channel condition had deteriorated rapidly before it had a chance to reconfigure the UE. </w:t>
      </w:r>
      <w:r w:rsidR="005E12C0">
        <w:rPr>
          <w:bCs/>
          <w:sz w:val="22"/>
          <w:szCs w:val="22"/>
          <w:lang w:val="en-AU" w:eastAsia="en-AU"/>
        </w:rPr>
        <w:t>However, one major drawback of semi-statically configure multiple combinations to the UE is that the UE will have to decode all possible candidates</w:t>
      </w:r>
      <w:r w:rsidR="002C0A85">
        <w:rPr>
          <w:bCs/>
          <w:sz w:val="22"/>
          <w:szCs w:val="22"/>
          <w:lang w:val="en-AU" w:eastAsia="en-AU"/>
        </w:rPr>
        <w:t xml:space="preserve"> and accumulate/combine over multiple repeated subframes in order to decode the intended EPDCCH.</w:t>
      </w:r>
    </w:p>
    <w:p w:rsidR="00DD4F44" w:rsidRDefault="005E12C0" w:rsidP="00EA31DD">
      <w:pPr>
        <w:spacing w:after="120"/>
        <w:jc w:val="both"/>
        <w:rPr>
          <w:sz w:val="22"/>
          <w:lang w:val="en-AU"/>
        </w:rPr>
      </w:pPr>
      <w:r>
        <w:rPr>
          <w:bCs/>
          <w:sz w:val="22"/>
          <w:szCs w:val="22"/>
          <w:lang w:val="en-AU" w:eastAsia="en-AU"/>
        </w:rPr>
        <w:t xml:space="preserve">As shown in [2], it is common to configure 4 different repetition levels for a UE to monitor. Taking one of the repetition sets as an example {32, 64, 96, </w:t>
      </w:r>
      <w:proofErr w:type="gramStart"/>
      <w:r>
        <w:rPr>
          <w:bCs/>
          <w:sz w:val="22"/>
          <w:szCs w:val="22"/>
          <w:lang w:val="en-AU" w:eastAsia="en-AU"/>
        </w:rPr>
        <w:t>128</w:t>
      </w:r>
      <w:proofErr w:type="gramEnd"/>
      <w:r>
        <w:rPr>
          <w:bCs/>
          <w:sz w:val="22"/>
          <w:szCs w:val="22"/>
          <w:lang w:val="en-AU" w:eastAsia="en-AU"/>
        </w:rPr>
        <w:t xml:space="preserve">} and assuming at a given time instant the eNB has chosen to repeat EPDCCH transmission 96 times. </w:t>
      </w:r>
      <w:r w:rsidR="00EE2F62">
        <w:rPr>
          <w:bCs/>
          <w:sz w:val="22"/>
          <w:szCs w:val="22"/>
          <w:lang w:val="en-AU" w:eastAsia="en-AU"/>
        </w:rPr>
        <w:t>In this case, t</w:t>
      </w:r>
      <w:r>
        <w:rPr>
          <w:bCs/>
          <w:sz w:val="22"/>
          <w:szCs w:val="22"/>
          <w:lang w:val="en-AU" w:eastAsia="en-AU"/>
        </w:rPr>
        <w:t xml:space="preserve">he UE </w:t>
      </w:r>
      <w:r w:rsidR="00771495">
        <w:rPr>
          <w:bCs/>
          <w:sz w:val="22"/>
          <w:szCs w:val="22"/>
          <w:lang w:val="en-AU" w:eastAsia="en-AU"/>
        </w:rPr>
        <w:t>will need</w:t>
      </w:r>
      <w:r>
        <w:rPr>
          <w:bCs/>
          <w:sz w:val="22"/>
          <w:szCs w:val="22"/>
          <w:lang w:val="en-AU" w:eastAsia="en-AU"/>
        </w:rPr>
        <w:t xml:space="preserve"> to blindly decode </w:t>
      </w:r>
      <w:r w:rsidR="00A50D59">
        <w:rPr>
          <w:bCs/>
          <w:sz w:val="22"/>
          <w:szCs w:val="22"/>
          <w:lang w:val="en-AU" w:eastAsia="en-AU"/>
        </w:rPr>
        <w:t xml:space="preserve">total of </w:t>
      </w:r>
      <w:r>
        <w:rPr>
          <w:bCs/>
          <w:sz w:val="22"/>
          <w:szCs w:val="22"/>
          <w:lang w:val="en-AU" w:eastAsia="en-AU"/>
        </w:rPr>
        <w:t>384 times</w:t>
      </w:r>
      <w:r w:rsidR="00A50D59">
        <w:rPr>
          <w:bCs/>
          <w:sz w:val="22"/>
          <w:szCs w:val="22"/>
          <w:lang w:val="en-AU" w:eastAsia="en-AU"/>
        </w:rPr>
        <w:t xml:space="preserve"> (96 times by 4 aggregation levels)</w:t>
      </w:r>
      <w:r>
        <w:rPr>
          <w:bCs/>
          <w:sz w:val="22"/>
          <w:szCs w:val="22"/>
          <w:lang w:val="en-AU" w:eastAsia="en-AU"/>
        </w:rPr>
        <w:t xml:space="preserve"> before it will be able to </w:t>
      </w:r>
      <w:r w:rsidR="00A50D59">
        <w:rPr>
          <w:bCs/>
          <w:sz w:val="22"/>
          <w:szCs w:val="22"/>
          <w:lang w:val="en-AU" w:eastAsia="en-AU"/>
        </w:rPr>
        <w:t>successfully decode the intended DCI. As can be seen, the number of decoding attempts by the UE is very large. Additionally, if the UE does not know the timing / subframe in which it should start monitoring EPDCCH, the number of attempts will be even larger.</w:t>
      </w:r>
    </w:p>
    <w:p w:rsidR="009F78D7" w:rsidRDefault="008A1D29" w:rsidP="00BC2299">
      <w:pPr>
        <w:spacing w:after="240"/>
        <w:jc w:val="both"/>
        <w:rPr>
          <w:sz w:val="22"/>
          <w:lang w:val="en-AU"/>
        </w:rPr>
      </w:pPr>
      <w:r>
        <w:rPr>
          <w:sz w:val="22"/>
          <w:lang w:val="en-AU"/>
        </w:rPr>
        <w:t>Another t</w:t>
      </w:r>
      <w:r w:rsidR="00684034">
        <w:rPr>
          <w:sz w:val="22"/>
          <w:lang w:val="en-AU"/>
        </w:rPr>
        <w:t xml:space="preserve">ype of </w:t>
      </w:r>
      <w:r>
        <w:rPr>
          <w:sz w:val="22"/>
          <w:lang w:val="en-AU"/>
        </w:rPr>
        <w:t xml:space="preserve">semi-static configuration of </w:t>
      </w:r>
      <w:r w:rsidR="00684034">
        <w:rPr>
          <w:sz w:val="22"/>
          <w:lang w:val="en-AU"/>
        </w:rPr>
        <w:t>higher-layer signalling</w:t>
      </w:r>
      <w:r>
        <w:rPr>
          <w:sz w:val="22"/>
          <w:lang w:val="en-AU"/>
        </w:rPr>
        <w:t xml:space="preserve"> is by utilising the Random Access Response </w:t>
      </w:r>
      <w:r w:rsidR="006422C0">
        <w:rPr>
          <w:sz w:val="22"/>
          <w:lang w:val="en-AU"/>
        </w:rPr>
        <w:t xml:space="preserve">(RAR) </w:t>
      </w:r>
      <w:r w:rsidR="00B34D8E">
        <w:rPr>
          <w:sz w:val="22"/>
          <w:lang w:val="en-AU"/>
        </w:rPr>
        <w:t xml:space="preserve">[3] </w:t>
      </w:r>
      <w:r>
        <w:rPr>
          <w:sz w:val="22"/>
          <w:lang w:val="en-AU"/>
        </w:rPr>
        <w:t xml:space="preserve">to implicitly indicate the set of combinations for which the UE needs to monitor. </w:t>
      </w:r>
      <w:r w:rsidR="00771495">
        <w:rPr>
          <w:sz w:val="22"/>
          <w:lang w:val="en-AU"/>
        </w:rPr>
        <w:t>Similar to the explicit RRC configuration</w:t>
      </w:r>
      <w:r w:rsidR="006422C0">
        <w:rPr>
          <w:sz w:val="22"/>
          <w:lang w:val="en-AU"/>
        </w:rPr>
        <w:t>, the implicit semi-static signalling method would also suffer from the same drawback</w:t>
      </w:r>
      <w:r w:rsidR="00771495">
        <w:rPr>
          <w:sz w:val="22"/>
          <w:lang w:val="en-AU"/>
        </w:rPr>
        <w:t>s</w:t>
      </w:r>
      <w:r w:rsidR="006422C0">
        <w:rPr>
          <w:sz w:val="22"/>
          <w:lang w:val="en-AU"/>
        </w:rPr>
        <w:t xml:space="preserve"> of high UE processing complexity of blindly decoding large number of repetition of unnecessary ECCE aggregation levels.</w:t>
      </w:r>
    </w:p>
    <w:p w:rsidR="008A1D29" w:rsidRDefault="008A1D29" w:rsidP="00EA31DD">
      <w:pPr>
        <w:spacing w:after="120"/>
        <w:jc w:val="both"/>
        <w:rPr>
          <w:b/>
          <w:bCs/>
          <w:i/>
          <w:sz w:val="22"/>
          <w:szCs w:val="22"/>
          <w:lang w:val="en-AU" w:eastAsia="en-AU"/>
        </w:rPr>
      </w:pPr>
      <w:r>
        <w:rPr>
          <w:b/>
          <w:bCs/>
          <w:i/>
          <w:sz w:val="22"/>
          <w:szCs w:val="22"/>
          <w:lang w:val="en-AU" w:eastAsia="en-AU"/>
        </w:rPr>
        <w:t xml:space="preserve">Observation </w:t>
      </w:r>
      <w:r w:rsidRPr="006422C0">
        <w:rPr>
          <w:b/>
          <w:bCs/>
          <w:i/>
          <w:sz w:val="22"/>
          <w:szCs w:val="22"/>
          <w:lang w:val="en-AU" w:eastAsia="en-AU"/>
        </w:rPr>
        <w:t>1:</w:t>
      </w:r>
      <w:r w:rsidR="006422C0" w:rsidRPr="006422C0">
        <w:rPr>
          <w:b/>
          <w:bCs/>
          <w:i/>
          <w:sz w:val="22"/>
          <w:szCs w:val="22"/>
          <w:lang w:val="en-AU" w:eastAsia="en-AU"/>
        </w:rPr>
        <w:t xml:space="preserve"> To account for possible coverage and channel condition change, it is more practical for the eNB to configure a set of more than one combination to a MTC UEs. Otherwise, the eNB may not be able to communicate with the UE any longer if channel condition had deteriorated rapidly before it had a chance to reconfigure the UE.</w:t>
      </w:r>
    </w:p>
    <w:p w:rsidR="00BC39F5" w:rsidRPr="000434B7" w:rsidRDefault="008A1D29" w:rsidP="009A03A3">
      <w:pPr>
        <w:spacing w:after="240"/>
        <w:jc w:val="both"/>
        <w:rPr>
          <w:b/>
          <w:bCs/>
          <w:i/>
          <w:sz w:val="22"/>
          <w:szCs w:val="22"/>
          <w:lang w:val="en-AU" w:eastAsia="en-AU"/>
        </w:rPr>
      </w:pPr>
      <w:r>
        <w:rPr>
          <w:b/>
          <w:bCs/>
          <w:i/>
          <w:sz w:val="22"/>
          <w:szCs w:val="22"/>
          <w:lang w:val="en-AU" w:eastAsia="en-AU"/>
        </w:rPr>
        <w:t xml:space="preserve">Observation 2: </w:t>
      </w:r>
      <w:r w:rsidR="006422C0">
        <w:rPr>
          <w:b/>
          <w:bCs/>
          <w:i/>
          <w:sz w:val="22"/>
          <w:szCs w:val="22"/>
          <w:lang w:val="en-AU" w:eastAsia="en-AU"/>
        </w:rPr>
        <w:t xml:space="preserve">One major drawback of semi-statically configure multiple combinations of {ECCE aggregation level, number of repetition} </w:t>
      </w:r>
      <w:r w:rsidR="00487F73">
        <w:rPr>
          <w:b/>
          <w:bCs/>
          <w:i/>
          <w:sz w:val="22"/>
          <w:szCs w:val="22"/>
          <w:lang w:val="en-AU" w:eastAsia="en-AU"/>
        </w:rPr>
        <w:t xml:space="preserve">from either higher-layer RRC signalling or RAR </w:t>
      </w:r>
      <w:r w:rsidR="006422C0">
        <w:rPr>
          <w:b/>
          <w:bCs/>
          <w:i/>
          <w:sz w:val="22"/>
          <w:szCs w:val="22"/>
          <w:lang w:val="en-AU" w:eastAsia="en-AU"/>
        </w:rPr>
        <w:t>is the high UE processing complexity</w:t>
      </w:r>
      <w:r w:rsidR="00487F73">
        <w:rPr>
          <w:b/>
          <w:bCs/>
          <w:i/>
          <w:sz w:val="22"/>
          <w:szCs w:val="22"/>
          <w:lang w:val="en-AU" w:eastAsia="en-AU"/>
        </w:rPr>
        <w:t xml:space="preserve"> and </w:t>
      </w:r>
      <w:r w:rsidR="006422C0">
        <w:rPr>
          <w:b/>
          <w:bCs/>
          <w:i/>
          <w:sz w:val="22"/>
          <w:szCs w:val="22"/>
          <w:lang w:val="en-AU" w:eastAsia="en-AU"/>
        </w:rPr>
        <w:t>power consumption of blindly decoding unnecessary ECCE aggregation levels.</w:t>
      </w:r>
    </w:p>
    <w:p w:rsidR="00BC39F5" w:rsidRPr="00BC39F5" w:rsidRDefault="003C4407" w:rsidP="00BC39F5">
      <w:pPr>
        <w:pStyle w:val="Heading2"/>
        <w:tabs>
          <w:tab w:val="clear" w:pos="2694"/>
          <w:tab w:val="num" w:pos="567"/>
        </w:tabs>
        <w:spacing w:after="120"/>
        <w:ind w:left="567"/>
        <w:rPr>
          <w:sz w:val="22"/>
          <w:lang w:val="en-AU"/>
        </w:rPr>
      </w:pPr>
      <w:r>
        <w:rPr>
          <w:sz w:val="22"/>
          <w:lang w:val="en-AU"/>
        </w:rPr>
        <w:t>Dynamic signalling</w:t>
      </w:r>
    </w:p>
    <w:p w:rsidR="008A1D29" w:rsidRDefault="008A1D29" w:rsidP="003C4407">
      <w:pPr>
        <w:spacing w:after="120"/>
        <w:jc w:val="both"/>
        <w:rPr>
          <w:bCs/>
          <w:sz w:val="22"/>
          <w:szCs w:val="22"/>
          <w:lang w:val="en-AU" w:eastAsia="en-AU"/>
        </w:rPr>
      </w:pPr>
      <w:r w:rsidRPr="00910497">
        <w:rPr>
          <w:bCs/>
          <w:sz w:val="22"/>
          <w:szCs w:val="22"/>
          <w:lang w:val="en-AU" w:eastAsia="en-AU"/>
        </w:rPr>
        <w:t>To indicate the intention of transmitting</w:t>
      </w:r>
      <w:r w:rsidR="00771495" w:rsidRPr="00910497">
        <w:rPr>
          <w:bCs/>
          <w:sz w:val="22"/>
          <w:szCs w:val="22"/>
          <w:lang w:val="en-AU" w:eastAsia="en-AU"/>
        </w:rPr>
        <w:t>, ECCE aggregation level and number of repetition for an E</w:t>
      </w:r>
      <w:r w:rsidRPr="00910497">
        <w:rPr>
          <w:bCs/>
          <w:sz w:val="22"/>
          <w:szCs w:val="22"/>
          <w:lang w:val="en-AU" w:eastAsia="en-AU"/>
        </w:rPr>
        <w:t>PDCCH, one straight forward method is to dynamic</w:t>
      </w:r>
      <w:r w:rsidR="00771495" w:rsidRPr="00910497">
        <w:rPr>
          <w:bCs/>
          <w:sz w:val="22"/>
          <w:szCs w:val="22"/>
          <w:lang w:val="en-AU" w:eastAsia="en-AU"/>
        </w:rPr>
        <w:t>ally signal</w:t>
      </w:r>
      <w:r w:rsidRPr="00910497">
        <w:rPr>
          <w:bCs/>
          <w:sz w:val="22"/>
          <w:szCs w:val="22"/>
          <w:lang w:val="en-AU" w:eastAsia="en-AU"/>
        </w:rPr>
        <w:t xml:space="preserve"> </w:t>
      </w:r>
      <w:r w:rsidR="00771495" w:rsidRPr="00910497">
        <w:rPr>
          <w:bCs/>
          <w:sz w:val="22"/>
          <w:szCs w:val="22"/>
          <w:lang w:val="en-AU" w:eastAsia="en-AU"/>
        </w:rPr>
        <w:t xml:space="preserve">these parameters </w:t>
      </w:r>
      <w:r w:rsidRPr="00910497">
        <w:rPr>
          <w:bCs/>
          <w:sz w:val="22"/>
          <w:szCs w:val="22"/>
          <w:lang w:val="en-AU" w:eastAsia="en-AU"/>
        </w:rPr>
        <w:t>to the intended MTC UE</w:t>
      </w:r>
      <w:r w:rsidR="00910497">
        <w:rPr>
          <w:bCs/>
          <w:sz w:val="22"/>
          <w:szCs w:val="22"/>
          <w:lang w:val="en-AU" w:eastAsia="en-AU"/>
        </w:rPr>
        <w:t xml:space="preserve"> before transmitting the actual scheduling DCI</w:t>
      </w:r>
      <w:r w:rsidRPr="00910497">
        <w:rPr>
          <w:bCs/>
          <w:sz w:val="22"/>
          <w:szCs w:val="22"/>
          <w:lang w:val="en-AU" w:eastAsia="en-AU"/>
        </w:rPr>
        <w:t>.</w:t>
      </w:r>
    </w:p>
    <w:p w:rsidR="007466DA" w:rsidRDefault="0035656F" w:rsidP="00BC2299">
      <w:pPr>
        <w:spacing w:after="240"/>
        <w:jc w:val="both"/>
        <w:rPr>
          <w:bCs/>
          <w:sz w:val="22"/>
          <w:szCs w:val="22"/>
          <w:lang w:val="en-AU" w:eastAsia="en-AU"/>
        </w:rPr>
      </w:pPr>
      <w:r>
        <w:rPr>
          <w:bCs/>
          <w:sz w:val="22"/>
          <w:szCs w:val="22"/>
          <w:lang w:val="en-AU" w:eastAsia="en-AU"/>
        </w:rPr>
        <w:t xml:space="preserve">As discussed in [4], the dynamic signalling is provided by an “indication EPDCCH” just before the actual “scheduling EPDCCH”. The timing of the indication in relation to the scheduling is shown in Figure 1. Since the indication EPDCCH/DCI carries only limited parameters for the subsequent scheduling EPDCCH (e.g. index of ECCE aggregation level, number of repetition), its payload size would be very small (5 ~ 6 bits). To account for poor coverage condition, the indication EPDCCH </w:t>
      </w:r>
      <w:r>
        <w:rPr>
          <w:bCs/>
          <w:sz w:val="22"/>
          <w:szCs w:val="22"/>
          <w:lang w:val="en-AU" w:eastAsia="en-AU"/>
        </w:rPr>
        <w:lastRenderedPageBreak/>
        <w:t xml:space="preserve">should be repeated as well, </w:t>
      </w:r>
      <w:r w:rsidR="00C5499B">
        <w:rPr>
          <w:bCs/>
          <w:sz w:val="22"/>
          <w:szCs w:val="22"/>
          <w:lang w:val="en-AU" w:eastAsia="en-AU"/>
        </w:rPr>
        <w:t>and</w:t>
      </w:r>
      <w:r>
        <w:rPr>
          <w:bCs/>
          <w:sz w:val="22"/>
          <w:szCs w:val="22"/>
          <w:lang w:val="en-AU" w:eastAsia="en-AU"/>
        </w:rPr>
        <w:t xml:space="preserve"> </w:t>
      </w:r>
      <w:r w:rsidRPr="00C5499B">
        <w:rPr>
          <w:bCs/>
          <w:sz w:val="22"/>
          <w:szCs w:val="22"/>
          <w:lang w:val="en-AU" w:eastAsia="en-AU"/>
        </w:rPr>
        <w:t xml:space="preserve">this repetition level can be fixed to a single value (e.g. 5 times in the spec). </w:t>
      </w:r>
      <w:r w:rsidR="00C5499B" w:rsidRPr="00C5499B">
        <w:rPr>
          <w:bCs/>
          <w:sz w:val="22"/>
          <w:szCs w:val="22"/>
          <w:lang w:val="en-AU" w:eastAsia="en-AU"/>
        </w:rPr>
        <w:t xml:space="preserve">It is observed in [4] that that when the proposed indication EPDCCH includes only the minimum required field, transmitted using high aggregation level (e.g. L=8) </w:t>
      </w:r>
      <w:r w:rsidR="004C1CD4">
        <w:rPr>
          <w:bCs/>
          <w:sz w:val="22"/>
          <w:szCs w:val="22"/>
          <w:lang w:val="en-AU" w:eastAsia="en-AU"/>
        </w:rPr>
        <w:t>and repeated over e.g. 5 times,</w:t>
      </w:r>
      <w:r w:rsidR="00C5499B" w:rsidRPr="00C5499B">
        <w:rPr>
          <w:bCs/>
          <w:sz w:val="22"/>
          <w:szCs w:val="22"/>
          <w:lang w:val="en-AU" w:eastAsia="en-AU"/>
        </w:rPr>
        <w:t xml:space="preserve"> </w:t>
      </w:r>
      <w:r w:rsidR="004C1CD4">
        <w:rPr>
          <w:bCs/>
          <w:sz w:val="22"/>
          <w:szCs w:val="22"/>
          <w:lang w:val="en-AU" w:eastAsia="en-AU"/>
        </w:rPr>
        <w:t xml:space="preserve">acceptable </w:t>
      </w:r>
      <w:r w:rsidR="00C5499B" w:rsidRPr="00C5499B">
        <w:rPr>
          <w:bCs/>
          <w:sz w:val="22"/>
          <w:szCs w:val="22"/>
          <w:lang w:val="en-AU" w:eastAsia="en-AU"/>
        </w:rPr>
        <w:t>performance of miss-detection and false detection can be achieved at low SNR (e.g. -14dB</w:t>
      </w:r>
      <w:r w:rsidR="004C1CD4">
        <w:rPr>
          <w:bCs/>
          <w:sz w:val="22"/>
          <w:szCs w:val="22"/>
          <w:lang w:val="en-AU" w:eastAsia="en-AU"/>
        </w:rPr>
        <w:t xml:space="preserve"> for 1% BLER</w:t>
      </w:r>
      <w:r w:rsidR="00C5499B" w:rsidRPr="00C5499B">
        <w:rPr>
          <w:bCs/>
          <w:sz w:val="22"/>
          <w:szCs w:val="22"/>
          <w:lang w:val="en-AU" w:eastAsia="en-AU"/>
        </w:rPr>
        <w:t xml:space="preserve">). </w:t>
      </w:r>
      <w:r w:rsidRPr="00C5499B">
        <w:rPr>
          <w:bCs/>
          <w:sz w:val="22"/>
          <w:szCs w:val="22"/>
          <w:lang w:val="en-AU" w:eastAsia="en-AU"/>
        </w:rPr>
        <w:t xml:space="preserve">Therefore, one main benefit of this dynamic </w:t>
      </w:r>
      <w:r w:rsidR="00C5499B" w:rsidRPr="00C5499B">
        <w:rPr>
          <w:bCs/>
          <w:sz w:val="22"/>
          <w:szCs w:val="22"/>
          <w:lang w:val="en-AU" w:eastAsia="en-AU"/>
        </w:rPr>
        <w:t>indication EPDCCH is</w:t>
      </w:r>
      <w:r w:rsidRPr="00C5499B">
        <w:rPr>
          <w:bCs/>
          <w:sz w:val="22"/>
          <w:szCs w:val="22"/>
          <w:lang w:val="en-AU" w:eastAsia="en-AU"/>
        </w:rPr>
        <w:t xml:space="preserve"> the UE will only have to accumulate/combine 5 </w:t>
      </w:r>
      <w:r w:rsidR="004C1CD4">
        <w:rPr>
          <w:bCs/>
          <w:sz w:val="22"/>
          <w:szCs w:val="22"/>
          <w:lang w:val="en-AU" w:eastAsia="en-AU"/>
        </w:rPr>
        <w:t xml:space="preserve">consecutive </w:t>
      </w:r>
      <w:r w:rsidRPr="00C5499B">
        <w:rPr>
          <w:bCs/>
          <w:sz w:val="22"/>
          <w:szCs w:val="22"/>
          <w:lang w:val="en-AU" w:eastAsia="en-AU"/>
        </w:rPr>
        <w:t xml:space="preserve">EPDCCH subframes </w:t>
      </w:r>
      <w:r w:rsidR="00C5499B" w:rsidRPr="00C5499B">
        <w:rPr>
          <w:bCs/>
          <w:sz w:val="22"/>
          <w:szCs w:val="22"/>
          <w:lang w:val="en-AU" w:eastAsia="en-AU"/>
        </w:rPr>
        <w:t>with</w:t>
      </w:r>
      <w:r w:rsidRPr="00C5499B">
        <w:rPr>
          <w:bCs/>
          <w:sz w:val="22"/>
          <w:szCs w:val="22"/>
          <w:lang w:val="en-AU" w:eastAsia="en-AU"/>
        </w:rPr>
        <w:t xml:space="preserve"> just one aggregation level to find out the exact ECCE aggregation level and number of repetition for the subsequent scheduling EPDCCH. The saving of UE power consumption is (128 x 3)/5 = 76.8 times, assuming max repetition level for the scheduling EPDCCH is 128. Additionally, by detecting the indication EPDCCH, the starting subframe for the scheduling EPDCCH is implicitly </w:t>
      </w:r>
      <w:r w:rsidR="009F78D7">
        <w:rPr>
          <w:bCs/>
          <w:sz w:val="22"/>
          <w:szCs w:val="22"/>
          <w:lang w:val="en-AU" w:eastAsia="en-AU"/>
        </w:rPr>
        <w:t>known</w:t>
      </w:r>
      <w:r w:rsidRPr="00C5499B">
        <w:rPr>
          <w:bCs/>
          <w:sz w:val="22"/>
          <w:szCs w:val="22"/>
          <w:lang w:val="en-AU" w:eastAsia="en-AU"/>
        </w:rPr>
        <w:t xml:space="preserve"> to the UE</w:t>
      </w:r>
      <w:r w:rsidR="00C5499B" w:rsidRPr="00C5499B">
        <w:rPr>
          <w:bCs/>
          <w:sz w:val="22"/>
          <w:szCs w:val="22"/>
          <w:lang w:val="en-AU" w:eastAsia="en-AU"/>
        </w:rPr>
        <w:t xml:space="preserve"> and thus reducing UE processing complexity in blindly finding the scheduling EPDCCH</w:t>
      </w:r>
      <w:r w:rsidRPr="00C5499B">
        <w:rPr>
          <w:bCs/>
          <w:sz w:val="22"/>
          <w:szCs w:val="22"/>
          <w:lang w:val="en-AU" w:eastAsia="en-AU"/>
        </w:rPr>
        <w:t>.</w:t>
      </w:r>
    </w:p>
    <w:p w:rsidR="00F016DD" w:rsidRDefault="00FE5550" w:rsidP="00FE5550">
      <w:pPr>
        <w:spacing w:after="240"/>
        <w:jc w:val="center"/>
        <w:rPr>
          <w:bCs/>
          <w:sz w:val="22"/>
          <w:szCs w:val="22"/>
          <w:lang w:val="en-AU" w:eastAsia="en-AU"/>
        </w:rPr>
      </w:pPr>
      <w:r w:rsidRPr="00FE5550">
        <w:rPr>
          <w:noProof/>
          <w:lang w:val="en-AU" w:eastAsia="en-AU"/>
        </w:rPr>
        <w:drawing>
          <wp:inline distT="0" distB="0" distL="0" distR="0" wp14:anchorId="5484137B" wp14:editId="69EC43AD">
            <wp:extent cx="5731510" cy="1010277"/>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31510" cy="1010277"/>
                    </a:xfrm>
                    <a:prstGeom prst="rect">
                      <a:avLst/>
                    </a:prstGeom>
                    <a:noFill/>
                    <a:ln>
                      <a:noFill/>
                    </a:ln>
                  </pic:spPr>
                </pic:pic>
              </a:graphicData>
            </a:graphic>
          </wp:inline>
        </w:drawing>
      </w:r>
    </w:p>
    <w:p w:rsidR="00695B79" w:rsidRPr="00695B79" w:rsidRDefault="00695B79" w:rsidP="00695B79">
      <w:pPr>
        <w:spacing w:after="240"/>
        <w:jc w:val="center"/>
        <w:rPr>
          <w:b/>
          <w:bCs/>
          <w:sz w:val="22"/>
          <w:szCs w:val="22"/>
          <w:lang w:val="en-AU" w:eastAsia="en-AU"/>
        </w:rPr>
      </w:pPr>
      <w:r w:rsidRPr="00FE5550">
        <w:rPr>
          <w:b/>
          <w:bCs/>
          <w:sz w:val="22"/>
          <w:szCs w:val="22"/>
          <w:lang w:val="en-AU" w:eastAsia="en-AU"/>
        </w:rPr>
        <w:t xml:space="preserve">Figure 1: </w:t>
      </w:r>
      <w:r w:rsidR="00FE5550" w:rsidRPr="00FE5550">
        <w:rPr>
          <w:b/>
          <w:bCs/>
          <w:sz w:val="22"/>
          <w:szCs w:val="22"/>
          <w:lang w:val="en-AU" w:eastAsia="en-AU"/>
        </w:rPr>
        <w:t>Indication</w:t>
      </w:r>
      <w:r w:rsidRPr="00FE5550">
        <w:rPr>
          <w:b/>
          <w:bCs/>
          <w:sz w:val="22"/>
          <w:szCs w:val="22"/>
          <w:lang w:val="en-AU" w:eastAsia="en-AU"/>
        </w:rPr>
        <w:t xml:space="preserve"> EPDCCH for LC-MTC UEs in coverage enhanced mode.</w:t>
      </w:r>
    </w:p>
    <w:p w:rsidR="00CE5D09" w:rsidRPr="00BC2299" w:rsidRDefault="00590CCC" w:rsidP="00BC2299">
      <w:pPr>
        <w:spacing w:after="240"/>
        <w:jc w:val="both"/>
        <w:rPr>
          <w:b/>
          <w:bCs/>
          <w:i/>
          <w:sz w:val="22"/>
          <w:szCs w:val="22"/>
          <w:lang w:val="en-AU" w:eastAsia="en-AU"/>
        </w:rPr>
      </w:pPr>
      <w:r>
        <w:rPr>
          <w:b/>
          <w:bCs/>
          <w:i/>
          <w:sz w:val="22"/>
          <w:szCs w:val="22"/>
          <w:lang w:val="en-AU" w:eastAsia="en-AU"/>
        </w:rPr>
        <w:t>Observation</w:t>
      </w:r>
      <w:r w:rsidR="00684034">
        <w:rPr>
          <w:b/>
          <w:bCs/>
          <w:i/>
          <w:sz w:val="22"/>
          <w:szCs w:val="22"/>
          <w:lang w:val="en-AU" w:eastAsia="en-AU"/>
        </w:rPr>
        <w:t xml:space="preserve"> 3</w:t>
      </w:r>
      <w:r w:rsidRPr="000434B7">
        <w:rPr>
          <w:b/>
          <w:bCs/>
          <w:i/>
          <w:sz w:val="22"/>
          <w:szCs w:val="22"/>
          <w:lang w:val="en-AU" w:eastAsia="en-AU"/>
        </w:rPr>
        <w:t xml:space="preserve">: </w:t>
      </w:r>
      <w:r w:rsidR="00F15162">
        <w:rPr>
          <w:b/>
          <w:bCs/>
          <w:i/>
          <w:sz w:val="22"/>
          <w:szCs w:val="22"/>
          <w:lang w:val="en-AU" w:eastAsia="en-AU"/>
        </w:rPr>
        <w:t>When d</w:t>
      </w:r>
      <w:r w:rsidR="00E36FC5">
        <w:rPr>
          <w:b/>
          <w:bCs/>
          <w:i/>
          <w:sz w:val="22"/>
          <w:szCs w:val="22"/>
          <w:lang w:val="en-AU" w:eastAsia="en-AU"/>
        </w:rPr>
        <w:t xml:space="preserve">ynamic signalling method </w:t>
      </w:r>
      <w:r w:rsidR="00F15162">
        <w:rPr>
          <w:b/>
          <w:bCs/>
          <w:i/>
          <w:sz w:val="22"/>
          <w:szCs w:val="22"/>
          <w:lang w:val="en-AU" w:eastAsia="en-AU"/>
        </w:rPr>
        <w:t>(indication EPDCCH) is used for indicating the exact parameters for the scheduling EPDCCH, the saving of UE processing complexity / power consumption can be more than 75 times compared to the semi-static configuration method.</w:t>
      </w:r>
    </w:p>
    <w:p w:rsidR="00590CCC" w:rsidRDefault="00CE5D09" w:rsidP="00CE5D09">
      <w:pPr>
        <w:pStyle w:val="Heading2"/>
        <w:tabs>
          <w:tab w:val="clear" w:pos="2694"/>
          <w:tab w:val="num" w:pos="567"/>
        </w:tabs>
        <w:spacing w:after="120"/>
        <w:ind w:left="567"/>
        <w:rPr>
          <w:lang w:val="en-AU" w:eastAsia="en-AU"/>
        </w:rPr>
      </w:pPr>
      <w:r>
        <w:rPr>
          <w:lang w:val="en-AU" w:eastAsia="en-AU"/>
        </w:rPr>
        <w:t>Hybrid method</w:t>
      </w:r>
    </w:p>
    <w:p w:rsidR="00684034" w:rsidRPr="008B3CE5" w:rsidRDefault="0039615D" w:rsidP="00684034">
      <w:pPr>
        <w:spacing w:after="120"/>
        <w:jc w:val="both"/>
        <w:rPr>
          <w:sz w:val="22"/>
          <w:lang w:val="en-AU"/>
        </w:rPr>
      </w:pPr>
      <w:r w:rsidRPr="008B3CE5">
        <w:rPr>
          <w:sz w:val="22"/>
          <w:lang w:val="en-AU"/>
        </w:rPr>
        <w:t>One enhanced method of signalling mechanism is a</w:t>
      </w:r>
      <w:r w:rsidR="004A2494" w:rsidRPr="008B3CE5">
        <w:rPr>
          <w:sz w:val="22"/>
          <w:lang w:val="en-AU"/>
        </w:rPr>
        <w:t xml:space="preserve"> hybrid scheme where a subset of the combinations of {ECCE aggregation level, number of repetition} is </w:t>
      </w:r>
      <w:r w:rsidR="008B3CE5">
        <w:rPr>
          <w:sz w:val="22"/>
          <w:lang w:val="en-AU"/>
        </w:rPr>
        <w:t>first</w:t>
      </w:r>
      <w:r w:rsidR="004A2494" w:rsidRPr="008B3CE5">
        <w:rPr>
          <w:sz w:val="22"/>
          <w:lang w:val="en-AU"/>
        </w:rPr>
        <w:t xml:space="preserve"> configured by semi-static signalling to LC-MTC UEs. The exact combination of {ECCE aggregation level, number of repetition}</w:t>
      </w:r>
      <w:r w:rsidR="00EA47D6" w:rsidRPr="008B3CE5">
        <w:rPr>
          <w:sz w:val="22"/>
          <w:lang w:val="en-AU"/>
        </w:rPr>
        <w:t xml:space="preserve"> or its index within the configured set of combinations</w:t>
      </w:r>
      <w:r w:rsidR="004A2494" w:rsidRPr="008B3CE5">
        <w:rPr>
          <w:sz w:val="22"/>
          <w:lang w:val="en-AU"/>
        </w:rPr>
        <w:t xml:space="preserve"> to be used in the next repetition period is dynamically signal</w:t>
      </w:r>
      <w:r w:rsidR="00EA47D6" w:rsidRPr="008B3CE5">
        <w:rPr>
          <w:sz w:val="22"/>
          <w:lang w:val="en-AU"/>
        </w:rPr>
        <w:t>l</w:t>
      </w:r>
      <w:r w:rsidR="004A2494" w:rsidRPr="008B3CE5">
        <w:rPr>
          <w:sz w:val="22"/>
          <w:lang w:val="en-AU"/>
        </w:rPr>
        <w:t>ed to the LC-MTC UEs to account for changes in channel condition and to lower UE processing complexity</w:t>
      </w:r>
      <w:r w:rsidR="00EA47D6" w:rsidRPr="008B3CE5">
        <w:rPr>
          <w:sz w:val="22"/>
          <w:lang w:val="en-AU"/>
        </w:rPr>
        <w:t>/power consumption</w:t>
      </w:r>
      <w:r w:rsidR="004A2494" w:rsidRPr="008B3CE5">
        <w:rPr>
          <w:sz w:val="22"/>
          <w:lang w:val="en-AU"/>
        </w:rPr>
        <w:t>.</w:t>
      </w:r>
    </w:p>
    <w:p w:rsidR="00EA47D6" w:rsidRPr="0039615D" w:rsidRDefault="00EA47D6" w:rsidP="00684034">
      <w:pPr>
        <w:spacing w:after="120"/>
        <w:jc w:val="both"/>
        <w:rPr>
          <w:bCs/>
          <w:sz w:val="20"/>
          <w:szCs w:val="22"/>
          <w:lang w:val="en-AU" w:eastAsia="en-AU"/>
        </w:rPr>
      </w:pPr>
      <w:r w:rsidRPr="008B3CE5">
        <w:rPr>
          <w:sz w:val="22"/>
          <w:lang w:val="en-AU"/>
        </w:rPr>
        <w:t>By already pre-known the possible combinations, and thus the DCI content, one could utilise this knowledge for quicker and more reliable decoding of the dynamic signalling.</w:t>
      </w:r>
    </w:p>
    <w:p w:rsidR="00CE5D09" w:rsidRPr="007466DA" w:rsidRDefault="00684034" w:rsidP="007466DA">
      <w:pPr>
        <w:spacing w:after="120"/>
        <w:jc w:val="both"/>
        <w:rPr>
          <w:b/>
          <w:bCs/>
          <w:i/>
          <w:sz w:val="22"/>
          <w:szCs w:val="22"/>
          <w:lang w:val="en-AU" w:eastAsia="en-AU"/>
        </w:rPr>
      </w:pPr>
      <w:r>
        <w:rPr>
          <w:b/>
          <w:bCs/>
          <w:i/>
          <w:sz w:val="22"/>
          <w:szCs w:val="22"/>
          <w:lang w:val="en-AU" w:eastAsia="en-AU"/>
        </w:rPr>
        <w:t>Proposal:</w:t>
      </w:r>
      <w:r w:rsidR="00324F7D">
        <w:rPr>
          <w:b/>
          <w:bCs/>
          <w:i/>
          <w:sz w:val="22"/>
          <w:szCs w:val="22"/>
          <w:lang w:val="en-AU" w:eastAsia="en-AU"/>
        </w:rPr>
        <w:t xml:space="preserve"> A hybrid method of semi-static configuring a set of parameter combinations then dynamically indicating the exact index of the combination to LC-MTC UEs should be adopted to reduce UE processing complexity and power consumption in coverage enhanced mode.</w:t>
      </w:r>
    </w:p>
    <w:p w:rsidR="008773C7" w:rsidRPr="00481BEF" w:rsidRDefault="008773C7" w:rsidP="008773C7">
      <w:pPr>
        <w:pStyle w:val="Heading1"/>
        <w:spacing w:after="120"/>
        <w:rPr>
          <w:sz w:val="22"/>
          <w:szCs w:val="22"/>
          <w:lang w:val="en-AU" w:eastAsia="en-AU"/>
        </w:rPr>
      </w:pPr>
      <w:r>
        <w:rPr>
          <w:sz w:val="22"/>
          <w:szCs w:val="22"/>
          <w:lang w:val="en-AU" w:eastAsia="en-AU"/>
        </w:rPr>
        <w:t>Conclusion</w:t>
      </w:r>
    </w:p>
    <w:p w:rsidR="001F3B6A" w:rsidRDefault="001F3B6A" w:rsidP="008773C7">
      <w:pPr>
        <w:spacing w:after="120"/>
        <w:jc w:val="both"/>
        <w:rPr>
          <w:bCs/>
          <w:sz w:val="22"/>
          <w:szCs w:val="22"/>
          <w:lang w:val="en-AU" w:eastAsia="en-AU"/>
        </w:rPr>
      </w:pPr>
      <w:r>
        <w:rPr>
          <w:bCs/>
          <w:sz w:val="22"/>
          <w:szCs w:val="22"/>
          <w:lang w:val="en-AU" w:eastAsia="en-AU"/>
        </w:rPr>
        <w:t>In this contribution, we provide discussions and analysis on possible signalling mechanisms for indicating the combination subset that could be considered to reduce UE processing complexity and power consumption.</w:t>
      </w:r>
    </w:p>
    <w:p w:rsidR="008773C7" w:rsidRDefault="00590CCC" w:rsidP="008773C7">
      <w:pPr>
        <w:spacing w:after="120"/>
        <w:jc w:val="both"/>
        <w:rPr>
          <w:bCs/>
          <w:sz w:val="22"/>
          <w:szCs w:val="22"/>
          <w:lang w:val="en-AU" w:eastAsia="en-AU"/>
        </w:rPr>
      </w:pPr>
      <w:r>
        <w:rPr>
          <w:bCs/>
          <w:sz w:val="22"/>
          <w:szCs w:val="22"/>
          <w:lang w:val="en-AU" w:eastAsia="en-AU"/>
        </w:rPr>
        <w:t xml:space="preserve">In summary, we have the following </w:t>
      </w:r>
      <w:r w:rsidR="001F3B6A">
        <w:rPr>
          <w:bCs/>
          <w:sz w:val="22"/>
          <w:szCs w:val="22"/>
          <w:lang w:val="en-AU" w:eastAsia="en-AU"/>
        </w:rPr>
        <w:t>observations and a proposal</w:t>
      </w:r>
      <w:r>
        <w:rPr>
          <w:bCs/>
          <w:sz w:val="22"/>
          <w:szCs w:val="22"/>
          <w:lang w:val="en-AU" w:eastAsia="en-AU"/>
        </w:rPr>
        <w:t>.</w:t>
      </w:r>
    </w:p>
    <w:p w:rsidR="001F3B6A" w:rsidRDefault="001F3B6A" w:rsidP="001F3B6A">
      <w:pPr>
        <w:spacing w:after="120"/>
        <w:jc w:val="both"/>
        <w:rPr>
          <w:b/>
          <w:bCs/>
          <w:i/>
          <w:sz w:val="22"/>
          <w:szCs w:val="22"/>
          <w:lang w:val="en-AU" w:eastAsia="en-AU"/>
        </w:rPr>
      </w:pPr>
      <w:r>
        <w:rPr>
          <w:b/>
          <w:bCs/>
          <w:i/>
          <w:sz w:val="22"/>
          <w:szCs w:val="22"/>
          <w:lang w:val="en-AU" w:eastAsia="en-AU"/>
        </w:rPr>
        <w:t xml:space="preserve">Observation </w:t>
      </w:r>
      <w:r w:rsidRPr="006422C0">
        <w:rPr>
          <w:b/>
          <w:bCs/>
          <w:i/>
          <w:sz w:val="22"/>
          <w:szCs w:val="22"/>
          <w:lang w:val="en-AU" w:eastAsia="en-AU"/>
        </w:rPr>
        <w:t>1: To account for possible coverage and channel condition change, it is more practical for the eNB to configure a set of more than one combination to a MTC UEs. Otherwise, the eNB may not be able to communicate with the UE any longer if channel condition had deteriorated rapidly before it had a chance to reconfigure the UE.</w:t>
      </w:r>
    </w:p>
    <w:p w:rsidR="001F3B6A" w:rsidRPr="000434B7" w:rsidRDefault="001F3B6A" w:rsidP="001F3B6A">
      <w:pPr>
        <w:spacing w:after="240"/>
        <w:jc w:val="both"/>
        <w:rPr>
          <w:b/>
          <w:bCs/>
          <w:i/>
          <w:sz w:val="22"/>
          <w:szCs w:val="22"/>
          <w:lang w:val="en-AU" w:eastAsia="en-AU"/>
        </w:rPr>
      </w:pPr>
      <w:r>
        <w:rPr>
          <w:b/>
          <w:bCs/>
          <w:i/>
          <w:sz w:val="22"/>
          <w:szCs w:val="22"/>
          <w:lang w:val="en-AU" w:eastAsia="en-AU"/>
        </w:rPr>
        <w:t>Observation 2: One major drawback of semi-statically configure multiple combinations of {ECCE aggregation level, number of repetition} from either higher-layer RRC signalling or RAR is the high UE processing complexity and power consumption of blindly decoding unnecessary ECCE aggregation levels.</w:t>
      </w:r>
    </w:p>
    <w:p w:rsidR="001F3B6A" w:rsidRPr="00BC2299" w:rsidRDefault="001F3B6A" w:rsidP="001F3B6A">
      <w:pPr>
        <w:spacing w:after="240"/>
        <w:jc w:val="both"/>
        <w:rPr>
          <w:b/>
          <w:bCs/>
          <w:i/>
          <w:sz w:val="22"/>
          <w:szCs w:val="22"/>
          <w:lang w:val="en-AU" w:eastAsia="en-AU"/>
        </w:rPr>
      </w:pPr>
      <w:r>
        <w:rPr>
          <w:b/>
          <w:bCs/>
          <w:i/>
          <w:sz w:val="22"/>
          <w:szCs w:val="22"/>
          <w:lang w:val="en-AU" w:eastAsia="en-AU"/>
        </w:rPr>
        <w:lastRenderedPageBreak/>
        <w:t>Observation 3</w:t>
      </w:r>
      <w:r w:rsidRPr="000434B7">
        <w:rPr>
          <w:b/>
          <w:bCs/>
          <w:i/>
          <w:sz w:val="22"/>
          <w:szCs w:val="22"/>
          <w:lang w:val="en-AU" w:eastAsia="en-AU"/>
        </w:rPr>
        <w:t xml:space="preserve">: </w:t>
      </w:r>
      <w:r>
        <w:rPr>
          <w:b/>
          <w:bCs/>
          <w:i/>
          <w:sz w:val="22"/>
          <w:szCs w:val="22"/>
          <w:lang w:val="en-AU" w:eastAsia="en-AU"/>
        </w:rPr>
        <w:t>When dynamic signalling method (indication EPDCCH) is used for indicating the exact parameters for the scheduling EPDCCH, the saving of UE processing complexity / power consumption can be more than 75 times compared to the semi-static configuration method.</w:t>
      </w:r>
    </w:p>
    <w:p w:rsidR="001F3B6A" w:rsidRPr="001F3B6A" w:rsidRDefault="001F3B6A" w:rsidP="008773C7">
      <w:pPr>
        <w:spacing w:after="120"/>
        <w:jc w:val="both"/>
        <w:rPr>
          <w:b/>
          <w:bCs/>
          <w:i/>
          <w:sz w:val="22"/>
          <w:szCs w:val="22"/>
          <w:lang w:val="en-AU" w:eastAsia="en-AU"/>
        </w:rPr>
      </w:pPr>
      <w:r>
        <w:rPr>
          <w:b/>
          <w:bCs/>
          <w:i/>
          <w:sz w:val="22"/>
          <w:szCs w:val="22"/>
          <w:lang w:val="en-AU" w:eastAsia="en-AU"/>
        </w:rPr>
        <w:t>Proposal: A hybrid method of semi-static configuring a set of parameter combinations then dynamically indicating the exact index of the combination to LC-MTC UEs should be adopted to reduce UE processing complexity and power consumption in coverage enhanced mode.</w:t>
      </w:r>
    </w:p>
    <w:p w:rsidR="008773C7" w:rsidRPr="00481BEF" w:rsidRDefault="008773C7" w:rsidP="008773C7">
      <w:pPr>
        <w:pStyle w:val="Heading1"/>
        <w:numPr>
          <w:ilvl w:val="0"/>
          <w:numId w:val="0"/>
        </w:numPr>
        <w:spacing w:after="120"/>
        <w:ind w:left="425" w:hanging="425"/>
        <w:rPr>
          <w:sz w:val="22"/>
          <w:szCs w:val="22"/>
          <w:lang w:val="en-AU" w:eastAsia="en-AU"/>
        </w:rPr>
      </w:pPr>
      <w:r>
        <w:rPr>
          <w:sz w:val="22"/>
          <w:szCs w:val="22"/>
          <w:lang w:val="en-AU" w:eastAsia="en-AU"/>
        </w:rPr>
        <w:t>References</w:t>
      </w:r>
    </w:p>
    <w:p w:rsidR="00040C03" w:rsidRPr="00AB0B89" w:rsidRDefault="00794CA8" w:rsidP="00B4784D">
      <w:pPr>
        <w:tabs>
          <w:tab w:val="left" w:pos="567"/>
        </w:tabs>
        <w:jc w:val="both"/>
        <w:rPr>
          <w:sz w:val="22"/>
          <w:szCs w:val="22"/>
          <w:lang w:val="en-AU"/>
        </w:rPr>
      </w:pPr>
      <w:r w:rsidRPr="00AB0B89">
        <w:rPr>
          <w:sz w:val="22"/>
          <w:szCs w:val="22"/>
          <w:lang w:val="en-AU"/>
        </w:rPr>
        <w:t>[</w:t>
      </w:r>
      <w:r w:rsidR="00C76557" w:rsidRPr="00AB0B89">
        <w:rPr>
          <w:sz w:val="22"/>
          <w:szCs w:val="22"/>
          <w:lang w:val="en-AU"/>
        </w:rPr>
        <w:t>1</w:t>
      </w:r>
      <w:r w:rsidRPr="00AB0B89">
        <w:rPr>
          <w:sz w:val="22"/>
          <w:szCs w:val="22"/>
          <w:lang w:val="en-AU"/>
        </w:rPr>
        <w:t>]</w:t>
      </w:r>
      <w:r w:rsidRPr="00AB0B89">
        <w:rPr>
          <w:sz w:val="22"/>
          <w:szCs w:val="22"/>
          <w:lang w:val="en-AU"/>
        </w:rPr>
        <w:tab/>
        <w:t>Chairman’s notes (final version), RAN1#80</w:t>
      </w:r>
      <w:r w:rsidR="00C76557" w:rsidRPr="00AB0B89">
        <w:rPr>
          <w:sz w:val="22"/>
          <w:szCs w:val="22"/>
          <w:lang w:val="en-AU"/>
        </w:rPr>
        <w:t>Bis</w:t>
      </w:r>
    </w:p>
    <w:p w:rsidR="00AB0B89" w:rsidRPr="00AB0B89" w:rsidRDefault="00DD4F44" w:rsidP="00B4784D">
      <w:pPr>
        <w:tabs>
          <w:tab w:val="left" w:pos="567"/>
        </w:tabs>
        <w:jc w:val="both"/>
        <w:rPr>
          <w:rFonts w:eastAsia="MS Mincho"/>
          <w:sz w:val="22"/>
          <w:szCs w:val="22"/>
          <w:lang w:eastAsia="ja-JP"/>
        </w:rPr>
      </w:pPr>
      <w:r w:rsidRPr="00DD4F44">
        <w:rPr>
          <w:rFonts w:eastAsia="MS Mincho"/>
          <w:sz w:val="22"/>
          <w:szCs w:val="22"/>
          <w:lang w:eastAsia="ja-JP"/>
        </w:rPr>
        <w:t>[2</w:t>
      </w:r>
      <w:r w:rsidR="00AB0B89" w:rsidRPr="00DD4F44">
        <w:rPr>
          <w:rFonts w:eastAsia="MS Mincho"/>
          <w:sz w:val="22"/>
          <w:szCs w:val="22"/>
          <w:lang w:eastAsia="ja-JP"/>
        </w:rPr>
        <w:t>]</w:t>
      </w:r>
      <w:r w:rsidR="00AB0B89" w:rsidRPr="00DD4F44">
        <w:rPr>
          <w:rFonts w:eastAsia="MS Mincho"/>
          <w:sz w:val="22"/>
          <w:szCs w:val="22"/>
          <w:lang w:eastAsia="ja-JP"/>
        </w:rPr>
        <w:tab/>
        <w:t>R1-151212 “EPDCCH aggregation and repetition for MTC”</w:t>
      </w:r>
      <w:r w:rsidR="00AB0B89" w:rsidRPr="00DD4F44">
        <w:rPr>
          <w:rFonts w:eastAsia="MS Mincho"/>
          <w:sz w:val="22"/>
          <w:szCs w:val="22"/>
          <w:lang w:eastAsia="ja-JP"/>
        </w:rPr>
        <w:tab/>
        <w:t>Ericsson</w:t>
      </w:r>
    </w:p>
    <w:p w:rsidR="00DD4F44" w:rsidRPr="00AB0B89" w:rsidRDefault="00DD4F44" w:rsidP="00DD4F44">
      <w:pPr>
        <w:tabs>
          <w:tab w:val="left" w:pos="567"/>
        </w:tabs>
        <w:jc w:val="both"/>
        <w:rPr>
          <w:rFonts w:eastAsia="MS Mincho"/>
          <w:sz w:val="22"/>
          <w:szCs w:val="22"/>
          <w:lang w:eastAsia="ja-JP"/>
        </w:rPr>
      </w:pPr>
      <w:r w:rsidRPr="00B34D8E">
        <w:rPr>
          <w:rFonts w:eastAsia="MS Mincho"/>
          <w:sz w:val="22"/>
          <w:szCs w:val="22"/>
          <w:lang w:eastAsia="ja-JP"/>
        </w:rPr>
        <w:t>[3]</w:t>
      </w:r>
      <w:r w:rsidRPr="00B34D8E">
        <w:rPr>
          <w:rFonts w:eastAsia="MS Mincho"/>
          <w:sz w:val="22"/>
          <w:szCs w:val="22"/>
          <w:lang w:eastAsia="ja-JP"/>
        </w:rPr>
        <w:tab/>
        <w:t>R1-151213 “EPDCCH initialization and reconfiguration for MTC”</w:t>
      </w:r>
      <w:r w:rsidRPr="00B34D8E">
        <w:rPr>
          <w:rFonts w:eastAsia="MS Mincho"/>
          <w:sz w:val="22"/>
          <w:szCs w:val="22"/>
          <w:lang w:eastAsia="ja-JP"/>
        </w:rPr>
        <w:tab/>
        <w:t>Ericsson</w:t>
      </w:r>
    </w:p>
    <w:p w:rsidR="00ED2ED0" w:rsidRDefault="00DD4F44" w:rsidP="00DD4F44">
      <w:pPr>
        <w:tabs>
          <w:tab w:val="left" w:pos="567"/>
        </w:tabs>
        <w:jc w:val="both"/>
        <w:rPr>
          <w:rFonts w:eastAsia="MS Mincho"/>
          <w:sz w:val="22"/>
          <w:szCs w:val="22"/>
          <w:lang w:eastAsia="ja-JP"/>
        </w:rPr>
      </w:pPr>
      <w:r>
        <w:rPr>
          <w:rFonts w:eastAsia="MS Mincho"/>
          <w:sz w:val="22"/>
          <w:szCs w:val="22"/>
          <w:lang w:eastAsia="ja-JP"/>
        </w:rPr>
        <w:t>[4</w:t>
      </w:r>
      <w:r w:rsidR="00ED2ED0">
        <w:rPr>
          <w:rFonts w:eastAsia="MS Mincho"/>
          <w:sz w:val="22"/>
          <w:szCs w:val="22"/>
          <w:lang w:eastAsia="ja-JP"/>
        </w:rPr>
        <w:t>]</w:t>
      </w:r>
      <w:r w:rsidR="00ED2ED0">
        <w:rPr>
          <w:rFonts w:eastAsia="MS Mincho"/>
          <w:sz w:val="22"/>
          <w:szCs w:val="22"/>
          <w:lang w:eastAsia="ja-JP"/>
        </w:rPr>
        <w:tab/>
        <w:t>R1-151561</w:t>
      </w:r>
      <w:r w:rsidR="00ED2ED0" w:rsidRPr="00AB0B89">
        <w:rPr>
          <w:rFonts w:eastAsia="MS Mincho"/>
          <w:sz w:val="22"/>
          <w:szCs w:val="22"/>
          <w:lang w:eastAsia="ja-JP"/>
        </w:rPr>
        <w:t xml:space="preserve"> “</w:t>
      </w:r>
      <w:r w:rsidR="00ED2ED0" w:rsidRPr="00ED2ED0">
        <w:rPr>
          <w:rFonts w:eastAsia="MS Mincho"/>
          <w:sz w:val="22"/>
          <w:szCs w:val="22"/>
          <w:lang w:eastAsia="ja-JP"/>
        </w:rPr>
        <w:t>Physical downlink control channel for enhanced coverage MTC UEs</w:t>
      </w:r>
      <w:r w:rsidR="00ED2ED0" w:rsidRPr="00AB0B89">
        <w:rPr>
          <w:rFonts w:eastAsia="MS Mincho"/>
          <w:sz w:val="22"/>
          <w:szCs w:val="22"/>
          <w:lang w:eastAsia="ja-JP"/>
        </w:rPr>
        <w:t>”</w:t>
      </w:r>
      <w:r w:rsidR="00ED2ED0">
        <w:rPr>
          <w:rFonts w:eastAsia="MS Mincho"/>
          <w:sz w:val="22"/>
          <w:szCs w:val="22"/>
          <w:lang w:eastAsia="ja-JP"/>
        </w:rPr>
        <w:tab/>
        <w:t>NEC</w:t>
      </w:r>
    </w:p>
    <w:p w:rsidR="00AB0B89" w:rsidRPr="00B4784D" w:rsidRDefault="00AB0B89" w:rsidP="00B4784D">
      <w:pPr>
        <w:tabs>
          <w:tab w:val="left" w:pos="567"/>
        </w:tabs>
        <w:jc w:val="both"/>
        <w:rPr>
          <w:sz w:val="22"/>
          <w:lang w:val="en-AU"/>
        </w:rPr>
      </w:pPr>
    </w:p>
    <w:sectPr w:rsidR="00AB0B89" w:rsidRPr="00B4784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54E7B"/>
    <w:multiLevelType w:val="hybridMultilevel"/>
    <w:tmpl w:val="3ABED4FC"/>
    <w:lvl w:ilvl="0" w:tplc="691CE0EA">
      <w:start w:val="1"/>
      <w:numFmt w:val="bullet"/>
      <w:lvlText w:val="•"/>
      <w:lvlJc w:val="left"/>
      <w:pPr>
        <w:tabs>
          <w:tab w:val="num" w:pos="720"/>
        </w:tabs>
        <w:ind w:left="720" w:hanging="360"/>
      </w:pPr>
      <w:rPr>
        <w:rFonts w:ascii="Arial" w:hAnsi="Arial" w:hint="default"/>
      </w:rPr>
    </w:lvl>
    <w:lvl w:ilvl="1" w:tplc="008AF520">
      <w:start w:val="1111"/>
      <w:numFmt w:val="bullet"/>
      <w:lvlText w:val="–"/>
      <w:lvlJc w:val="left"/>
      <w:pPr>
        <w:tabs>
          <w:tab w:val="num" w:pos="1440"/>
        </w:tabs>
        <w:ind w:left="1440" w:hanging="360"/>
      </w:pPr>
      <w:rPr>
        <w:rFonts w:ascii="Arial" w:hAnsi="Arial" w:hint="default"/>
      </w:rPr>
    </w:lvl>
    <w:lvl w:ilvl="2" w:tplc="5092749C">
      <w:start w:val="1111"/>
      <w:numFmt w:val="bullet"/>
      <w:lvlText w:val="•"/>
      <w:lvlJc w:val="left"/>
      <w:pPr>
        <w:tabs>
          <w:tab w:val="num" w:pos="2160"/>
        </w:tabs>
        <w:ind w:left="2160" w:hanging="360"/>
      </w:pPr>
      <w:rPr>
        <w:rFonts w:ascii="Arial" w:hAnsi="Arial" w:hint="default"/>
      </w:rPr>
    </w:lvl>
    <w:lvl w:ilvl="3" w:tplc="DFE61502">
      <w:start w:val="1111"/>
      <w:numFmt w:val="bullet"/>
      <w:lvlText w:val="–"/>
      <w:lvlJc w:val="left"/>
      <w:pPr>
        <w:tabs>
          <w:tab w:val="num" w:pos="2880"/>
        </w:tabs>
        <w:ind w:left="2880" w:hanging="360"/>
      </w:pPr>
      <w:rPr>
        <w:rFonts w:ascii="Arial" w:hAnsi="Arial" w:hint="default"/>
      </w:rPr>
    </w:lvl>
    <w:lvl w:ilvl="4" w:tplc="4E12653A">
      <w:start w:val="1111"/>
      <w:numFmt w:val="bullet"/>
      <w:lvlText w:val="»"/>
      <w:lvlJc w:val="left"/>
      <w:pPr>
        <w:tabs>
          <w:tab w:val="num" w:pos="3600"/>
        </w:tabs>
        <w:ind w:left="3600" w:hanging="360"/>
      </w:pPr>
      <w:rPr>
        <w:rFonts w:ascii="Arial" w:hAnsi="Arial" w:hint="default"/>
      </w:rPr>
    </w:lvl>
    <w:lvl w:ilvl="5" w:tplc="E7CE736E" w:tentative="1">
      <w:start w:val="1"/>
      <w:numFmt w:val="bullet"/>
      <w:lvlText w:val="•"/>
      <w:lvlJc w:val="left"/>
      <w:pPr>
        <w:tabs>
          <w:tab w:val="num" w:pos="4320"/>
        </w:tabs>
        <w:ind w:left="4320" w:hanging="360"/>
      </w:pPr>
      <w:rPr>
        <w:rFonts w:ascii="Arial" w:hAnsi="Arial" w:hint="default"/>
      </w:rPr>
    </w:lvl>
    <w:lvl w:ilvl="6" w:tplc="E7DEF428" w:tentative="1">
      <w:start w:val="1"/>
      <w:numFmt w:val="bullet"/>
      <w:lvlText w:val="•"/>
      <w:lvlJc w:val="left"/>
      <w:pPr>
        <w:tabs>
          <w:tab w:val="num" w:pos="5040"/>
        </w:tabs>
        <w:ind w:left="5040" w:hanging="360"/>
      </w:pPr>
      <w:rPr>
        <w:rFonts w:ascii="Arial" w:hAnsi="Arial" w:hint="default"/>
      </w:rPr>
    </w:lvl>
    <w:lvl w:ilvl="7" w:tplc="67EAF12A" w:tentative="1">
      <w:start w:val="1"/>
      <w:numFmt w:val="bullet"/>
      <w:lvlText w:val="•"/>
      <w:lvlJc w:val="left"/>
      <w:pPr>
        <w:tabs>
          <w:tab w:val="num" w:pos="5760"/>
        </w:tabs>
        <w:ind w:left="5760" w:hanging="360"/>
      </w:pPr>
      <w:rPr>
        <w:rFonts w:ascii="Arial" w:hAnsi="Arial" w:hint="default"/>
      </w:rPr>
    </w:lvl>
    <w:lvl w:ilvl="8" w:tplc="7CDEDC90" w:tentative="1">
      <w:start w:val="1"/>
      <w:numFmt w:val="bullet"/>
      <w:lvlText w:val="•"/>
      <w:lvlJc w:val="left"/>
      <w:pPr>
        <w:tabs>
          <w:tab w:val="num" w:pos="6480"/>
        </w:tabs>
        <w:ind w:left="6480" w:hanging="360"/>
      </w:pPr>
      <w:rPr>
        <w:rFonts w:ascii="Arial" w:hAnsi="Arial" w:hint="default"/>
      </w:rPr>
    </w:lvl>
  </w:abstractNum>
  <w:abstractNum w:abstractNumId="1">
    <w:nsid w:val="074F1458"/>
    <w:multiLevelType w:val="hybridMultilevel"/>
    <w:tmpl w:val="62168162"/>
    <w:lvl w:ilvl="0" w:tplc="08090005">
      <w:start w:val="1"/>
      <w:numFmt w:val="bullet"/>
      <w:lvlText w:val=""/>
      <w:lvlJc w:val="left"/>
      <w:pPr>
        <w:tabs>
          <w:tab w:val="num" w:pos="720"/>
        </w:tabs>
        <w:ind w:left="720" w:hanging="360"/>
      </w:pPr>
      <w:rPr>
        <w:rFonts w:ascii="Wingdings" w:hAnsi="Wingdings" w:hint="default"/>
      </w:rPr>
    </w:lvl>
    <w:lvl w:ilvl="1" w:tplc="244CBB0C">
      <w:start w:val="1"/>
      <w:numFmt w:val="bullet"/>
      <w:lvlText w:val="•"/>
      <w:lvlJc w:val="left"/>
      <w:pPr>
        <w:tabs>
          <w:tab w:val="num" w:pos="1440"/>
        </w:tabs>
        <w:ind w:left="1440" w:hanging="360"/>
      </w:pPr>
      <w:rPr>
        <w:rFonts w:ascii="Arial" w:hAnsi="Arial" w:hint="default"/>
      </w:rPr>
    </w:lvl>
    <w:lvl w:ilvl="2" w:tplc="5AF4C2D2">
      <w:start w:val="1"/>
      <w:numFmt w:val="bullet"/>
      <w:lvlText w:val="•"/>
      <w:lvlJc w:val="left"/>
      <w:pPr>
        <w:tabs>
          <w:tab w:val="num" w:pos="2160"/>
        </w:tabs>
        <w:ind w:left="2160" w:hanging="360"/>
      </w:pPr>
      <w:rPr>
        <w:rFonts w:ascii="Arial" w:hAnsi="Arial" w:hint="default"/>
      </w:rPr>
    </w:lvl>
    <w:lvl w:ilvl="3" w:tplc="9822D036">
      <w:start w:val="1"/>
      <w:numFmt w:val="bullet"/>
      <w:lvlText w:val="•"/>
      <w:lvlJc w:val="left"/>
      <w:pPr>
        <w:tabs>
          <w:tab w:val="num" w:pos="2880"/>
        </w:tabs>
        <w:ind w:left="2880" w:hanging="360"/>
      </w:pPr>
      <w:rPr>
        <w:rFonts w:ascii="Arial" w:hAnsi="Arial" w:hint="default"/>
      </w:rPr>
    </w:lvl>
    <w:lvl w:ilvl="4" w:tplc="4A783D7A" w:tentative="1">
      <w:start w:val="1"/>
      <w:numFmt w:val="bullet"/>
      <w:lvlText w:val="•"/>
      <w:lvlJc w:val="left"/>
      <w:pPr>
        <w:tabs>
          <w:tab w:val="num" w:pos="3600"/>
        </w:tabs>
        <w:ind w:left="3600" w:hanging="360"/>
      </w:pPr>
      <w:rPr>
        <w:rFonts w:ascii="Arial" w:hAnsi="Arial" w:hint="default"/>
      </w:rPr>
    </w:lvl>
    <w:lvl w:ilvl="5" w:tplc="EFC4E400" w:tentative="1">
      <w:start w:val="1"/>
      <w:numFmt w:val="bullet"/>
      <w:lvlText w:val="•"/>
      <w:lvlJc w:val="left"/>
      <w:pPr>
        <w:tabs>
          <w:tab w:val="num" w:pos="4320"/>
        </w:tabs>
        <w:ind w:left="4320" w:hanging="360"/>
      </w:pPr>
      <w:rPr>
        <w:rFonts w:ascii="Arial" w:hAnsi="Arial" w:hint="default"/>
      </w:rPr>
    </w:lvl>
    <w:lvl w:ilvl="6" w:tplc="55F06C22" w:tentative="1">
      <w:start w:val="1"/>
      <w:numFmt w:val="bullet"/>
      <w:lvlText w:val="•"/>
      <w:lvlJc w:val="left"/>
      <w:pPr>
        <w:tabs>
          <w:tab w:val="num" w:pos="5040"/>
        </w:tabs>
        <w:ind w:left="5040" w:hanging="360"/>
      </w:pPr>
      <w:rPr>
        <w:rFonts w:ascii="Arial" w:hAnsi="Arial" w:hint="default"/>
      </w:rPr>
    </w:lvl>
    <w:lvl w:ilvl="7" w:tplc="C52CDC98" w:tentative="1">
      <w:start w:val="1"/>
      <w:numFmt w:val="bullet"/>
      <w:lvlText w:val="•"/>
      <w:lvlJc w:val="left"/>
      <w:pPr>
        <w:tabs>
          <w:tab w:val="num" w:pos="5760"/>
        </w:tabs>
        <w:ind w:left="5760" w:hanging="360"/>
      </w:pPr>
      <w:rPr>
        <w:rFonts w:ascii="Arial" w:hAnsi="Arial" w:hint="default"/>
      </w:rPr>
    </w:lvl>
    <w:lvl w:ilvl="8" w:tplc="75FCCDC8" w:tentative="1">
      <w:start w:val="1"/>
      <w:numFmt w:val="bullet"/>
      <w:lvlText w:val="•"/>
      <w:lvlJc w:val="left"/>
      <w:pPr>
        <w:tabs>
          <w:tab w:val="num" w:pos="6480"/>
        </w:tabs>
        <w:ind w:left="6480" w:hanging="360"/>
      </w:pPr>
      <w:rPr>
        <w:rFonts w:ascii="Arial" w:hAnsi="Arial" w:hint="default"/>
      </w:rPr>
    </w:lvl>
  </w:abstractNum>
  <w:abstractNum w:abstractNumId="2">
    <w:nsid w:val="081A0867"/>
    <w:multiLevelType w:val="hybridMultilevel"/>
    <w:tmpl w:val="476099BE"/>
    <w:lvl w:ilvl="0" w:tplc="CCD49BCC">
      <w:numFmt w:val="bullet"/>
      <w:lvlText w:val=""/>
      <w:lvlJc w:val="left"/>
      <w:pPr>
        <w:ind w:left="720" w:hanging="360"/>
      </w:pPr>
      <w:rPr>
        <w:rFonts w:ascii="Symbol" w:eastAsia="SimSun" w:hAnsi="Symbol"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0F027B00"/>
    <w:multiLevelType w:val="hybridMultilevel"/>
    <w:tmpl w:val="0D48FE68"/>
    <w:lvl w:ilvl="0" w:tplc="08090005">
      <w:start w:val="1"/>
      <w:numFmt w:val="bullet"/>
      <w:lvlText w:val=""/>
      <w:lvlJc w:val="left"/>
      <w:pPr>
        <w:ind w:left="780" w:hanging="360"/>
      </w:pPr>
      <w:rPr>
        <w:rFonts w:ascii="Wingdings" w:hAnsi="Wingdings" w:hint="default"/>
      </w:rPr>
    </w:lvl>
    <w:lvl w:ilvl="1" w:tplc="08090003">
      <w:start w:val="1"/>
      <w:numFmt w:val="bullet"/>
      <w:lvlText w:val="o"/>
      <w:lvlJc w:val="left"/>
      <w:pPr>
        <w:ind w:left="1500" w:hanging="360"/>
      </w:pPr>
      <w:rPr>
        <w:rFonts w:ascii="Courier New" w:hAnsi="Courier New" w:cs="Courier New" w:hint="default"/>
      </w:rPr>
    </w:lvl>
    <w:lvl w:ilvl="2" w:tplc="08090005">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4">
    <w:nsid w:val="1B553928"/>
    <w:multiLevelType w:val="hybridMultilevel"/>
    <w:tmpl w:val="E968C960"/>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nsid w:val="1F3F7600"/>
    <w:multiLevelType w:val="multilevel"/>
    <w:tmpl w:val="AA483BEE"/>
    <w:lvl w:ilvl="0">
      <w:start w:val="1"/>
      <w:numFmt w:val="decimal"/>
      <w:pStyle w:val="Heading1"/>
      <w:lvlText w:val="%1."/>
      <w:lvlJc w:val="left"/>
      <w:pPr>
        <w:tabs>
          <w:tab w:val="num" w:pos="425"/>
        </w:tabs>
        <w:ind w:left="425" w:hanging="425"/>
      </w:pPr>
      <w:rPr>
        <w:rFonts w:hint="eastAsia"/>
        <w:i w:val="0"/>
      </w:rPr>
    </w:lvl>
    <w:lvl w:ilvl="1">
      <w:start w:val="1"/>
      <w:numFmt w:val="decimal"/>
      <w:pStyle w:val="Heading2"/>
      <w:lvlText w:val="%1.%2."/>
      <w:lvlJc w:val="left"/>
      <w:pPr>
        <w:tabs>
          <w:tab w:val="num" w:pos="2694"/>
        </w:tabs>
        <w:ind w:left="2694"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3%1.%2..%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
    <w:nsid w:val="2EBE611C"/>
    <w:multiLevelType w:val="hybridMultilevel"/>
    <w:tmpl w:val="6AA47076"/>
    <w:lvl w:ilvl="0" w:tplc="08090001">
      <w:start w:val="1"/>
      <w:numFmt w:val="bullet"/>
      <w:lvlText w:val=""/>
      <w:lvlJc w:val="left"/>
      <w:pPr>
        <w:ind w:left="780" w:hanging="360"/>
      </w:pPr>
      <w:rPr>
        <w:rFonts w:ascii="Symbol" w:hAnsi="Symbol" w:hint="default"/>
      </w:rPr>
    </w:lvl>
    <w:lvl w:ilvl="1" w:tplc="08090001">
      <w:start w:val="1"/>
      <w:numFmt w:val="bullet"/>
      <w:lvlText w:val=""/>
      <w:lvlJc w:val="left"/>
      <w:pPr>
        <w:ind w:left="1500" w:hanging="360"/>
      </w:pPr>
      <w:rPr>
        <w:rFonts w:ascii="Symbol" w:hAnsi="Symbol" w:hint="default"/>
      </w:rPr>
    </w:lvl>
    <w:lvl w:ilvl="2" w:tplc="08090005">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7">
    <w:nsid w:val="2FE35EFA"/>
    <w:multiLevelType w:val="hybridMultilevel"/>
    <w:tmpl w:val="C2B8C6B2"/>
    <w:lvl w:ilvl="0" w:tplc="08090005">
      <w:start w:val="1"/>
      <w:numFmt w:val="bullet"/>
      <w:lvlText w:val=""/>
      <w:lvlJc w:val="left"/>
      <w:pPr>
        <w:ind w:left="360" w:hanging="360"/>
      </w:pPr>
      <w:rPr>
        <w:rFonts w:ascii="Wingdings" w:hAnsi="Wingding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nsid w:val="324659DC"/>
    <w:multiLevelType w:val="hybridMultilevel"/>
    <w:tmpl w:val="5C94248A"/>
    <w:lvl w:ilvl="0" w:tplc="482C4C60">
      <w:numFmt w:val="bullet"/>
      <w:lvlText w:val=""/>
      <w:lvlJc w:val="left"/>
      <w:pPr>
        <w:ind w:left="720" w:hanging="360"/>
      </w:pPr>
      <w:rPr>
        <w:rFonts w:ascii="Symbol" w:eastAsia="Times New Roman" w:hAnsi="Symbol" w:cs="Aria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9">
    <w:nsid w:val="3A6331B7"/>
    <w:multiLevelType w:val="hybridMultilevel"/>
    <w:tmpl w:val="DD8019B6"/>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0">
    <w:nsid w:val="44496E9E"/>
    <w:multiLevelType w:val="hybridMultilevel"/>
    <w:tmpl w:val="19D0ADF0"/>
    <w:lvl w:ilvl="0" w:tplc="3E9659D0">
      <w:numFmt w:val="bullet"/>
      <w:lvlText w:val=""/>
      <w:lvlJc w:val="left"/>
      <w:pPr>
        <w:ind w:left="720" w:hanging="360"/>
      </w:pPr>
      <w:rPr>
        <w:rFonts w:ascii="Symbol" w:eastAsia="SimSun" w:hAnsi="Symbol"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50593557"/>
    <w:multiLevelType w:val="hybridMultilevel"/>
    <w:tmpl w:val="1BBC71D6"/>
    <w:lvl w:ilvl="0" w:tplc="08090005">
      <w:start w:val="1"/>
      <w:numFmt w:val="bullet"/>
      <w:lvlText w:val=""/>
      <w:lvlJc w:val="left"/>
      <w:pPr>
        <w:tabs>
          <w:tab w:val="num" w:pos="720"/>
        </w:tabs>
        <w:ind w:left="720" w:hanging="360"/>
      </w:pPr>
      <w:rPr>
        <w:rFonts w:ascii="Wingdings" w:hAnsi="Wingdings" w:hint="default"/>
      </w:rPr>
    </w:lvl>
    <w:lvl w:ilvl="1" w:tplc="244CBB0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9822D036">
      <w:start w:val="1"/>
      <w:numFmt w:val="bullet"/>
      <w:lvlText w:val="•"/>
      <w:lvlJc w:val="left"/>
      <w:pPr>
        <w:tabs>
          <w:tab w:val="num" w:pos="2880"/>
        </w:tabs>
        <w:ind w:left="2880" w:hanging="360"/>
      </w:pPr>
      <w:rPr>
        <w:rFonts w:ascii="Arial" w:hAnsi="Arial" w:hint="default"/>
      </w:rPr>
    </w:lvl>
    <w:lvl w:ilvl="4" w:tplc="4A783D7A" w:tentative="1">
      <w:start w:val="1"/>
      <w:numFmt w:val="bullet"/>
      <w:lvlText w:val="•"/>
      <w:lvlJc w:val="left"/>
      <w:pPr>
        <w:tabs>
          <w:tab w:val="num" w:pos="3600"/>
        </w:tabs>
        <w:ind w:left="3600" w:hanging="360"/>
      </w:pPr>
      <w:rPr>
        <w:rFonts w:ascii="Arial" w:hAnsi="Arial" w:hint="default"/>
      </w:rPr>
    </w:lvl>
    <w:lvl w:ilvl="5" w:tplc="EFC4E400" w:tentative="1">
      <w:start w:val="1"/>
      <w:numFmt w:val="bullet"/>
      <w:lvlText w:val="•"/>
      <w:lvlJc w:val="left"/>
      <w:pPr>
        <w:tabs>
          <w:tab w:val="num" w:pos="4320"/>
        </w:tabs>
        <w:ind w:left="4320" w:hanging="360"/>
      </w:pPr>
      <w:rPr>
        <w:rFonts w:ascii="Arial" w:hAnsi="Arial" w:hint="default"/>
      </w:rPr>
    </w:lvl>
    <w:lvl w:ilvl="6" w:tplc="55F06C22" w:tentative="1">
      <w:start w:val="1"/>
      <w:numFmt w:val="bullet"/>
      <w:lvlText w:val="•"/>
      <w:lvlJc w:val="left"/>
      <w:pPr>
        <w:tabs>
          <w:tab w:val="num" w:pos="5040"/>
        </w:tabs>
        <w:ind w:left="5040" w:hanging="360"/>
      </w:pPr>
      <w:rPr>
        <w:rFonts w:ascii="Arial" w:hAnsi="Arial" w:hint="default"/>
      </w:rPr>
    </w:lvl>
    <w:lvl w:ilvl="7" w:tplc="C52CDC98" w:tentative="1">
      <w:start w:val="1"/>
      <w:numFmt w:val="bullet"/>
      <w:lvlText w:val="•"/>
      <w:lvlJc w:val="left"/>
      <w:pPr>
        <w:tabs>
          <w:tab w:val="num" w:pos="5760"/>
        </w:tabs>
        <w:ind w:left="5760" w:hanging="360"/>
      </w:pPr>
      <w:rPr>
        <w:rFonts w:ascii="Arial" w:hAnsi="Arial" w:hint="default"/>
      </w:rPr>
    </w:lvl>
    <w:lvl w:ilvl="8" w:tplc="75FCCDC8" w:tentative="1">
      <w:start w:val="1"/>
      <w:numFmt w:val="bullet"/>
      <w:lvlText w:val="•"/>
      <w:lvlJc w:val="left"/>
      <w:pPr>
        <w:tabs>
          <w:tab w:val="num" w:pos="6480"/>
        </w:tabs>
        <w:ind w:left="6480" w:hanging="360"/>
      </w:pPr>
      <w:rPr>
        <w:rFonts w:ascii="Arial" w:hAnsi="Arial" w:hint="default"/>
      </w:rPr>
    </w:lvl>
  </w:abstractNum>
  <w:abstractNum w:abstractNumId="12">
    <w:nsid w:val="56AA02D9"/>
    <w:multiLevelType w:val="hybridMultilevel"/>
    <w:tmpl w:val="EB88486E"/>
    <w:lvl w:ilvl="0" w:tplc="08090005">
      <w:start w:val="1"/>
      <w:numFmt w:val="bullet"/>
      <w:lvlText w:val=""/>
      <w:lvlJc w:val="left"/>
      <w:pPr>
        <w:ind w:left="360" w:hanging="360"/>
      </w:pPr>
      <w:rPr>
        <w:rFonts w:ascii="Wingdings" w:hAnsi="Wingdings" w:hint="default"/>
      </w:rPr>
    </w:lvl>
    <w:lvl w:ilvl="1" w:tplc="08090001">
      <w:start w:val="1"/>
      <w:numFmt w:val="bullet"/>
      <w:lvlText w:val=""/>
      <w:lvlJc w:val="left"/>
      <w:pPr>
        <w:ind w:left="1080" w:hanging="360"/>
      </w:pPr>
      <w:rPr>
        <w:rFonts w:ascii="Symbol" w:hAnsi="Symbo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nsid w:val="635A51E3"/>
    <w:multiLevelType w:val="hybridMultilevel"/>
    <w:tmpl w:val="6D7C985A"/>
    <w:lvl w:ilvl="0" w:tplc="08090005">
      <w:start w:val="1"/>
      <w:numFmt w:val="bullet"/>
      <w:lvlText w:val=""/>
      <w:lvlJc w:val="left"/>
      <w:pPr>
        <w:ind w:left="360" w:hanging="360"/>
      </w:pPr>
      <w:rPr>
        <w:rFonts w:ascii="Wingdings" w:hAnsi="Wingdings" w:hint="default"/>
      </w:rPr>
    </w:lvl>
    <w:lvl w:ilvl="1" w:tplc="08090001">
      <w:start w:val="1"/>
      <w:numFmt w:val="bullet"/>
      <w:lvlText w:val=""/>
      <w:lvlJc w:val="left"/>
      <w:pPr>
        <w:ind w:left="1080" w:hanging="360"/>
      </w:pPr>
      <w:rPr>
        <w:rFonts w:ascii="Symbol" w:hAnsi="Symbol"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nsid w:val="6A4F1648"/>
    <w:multiLevelType w:val="hybridMultilevel"/>
    <w:tmpl w:val="F91AFDC8"/>
    <w:lvl w:ilvl="0" w:tplc="08090005">
      <w:start w:val="1"/>
      <w:numFmt w:val="bullet"/>
      <w:lvlText w:val=""/>
      <w:lvlJc w:val="left"/>
      <w:pPr>
        <w:ind w:left="360" w:hanging="360"/>
      </w:pPr>
      <w:rPr>
        <w:rFonts w:ascii="Wingdings" w:hAnsi="Wingdings" w:hint="default"/>
      </w:rPr>
    </w:lvl>
    <w:lvl w:ilvl="1" w:tplc="08090001">
      <w:start w:val="1"/>
      <w:numFmt w:val="bullet"/>
      <w:lvlText w:val=""/>
      <w:lvlJc w:val="left"/>
      <w:pPr>
        <w:ind w:left="1080" w:hanging="360"/>
      </w:pPr>
      <w:rPr>
        <w:rFonts w:ascii="Symbol" w:hAnsi="Symbol" w:hint="default"/>
      </w:rPr>
    </w:lvl>
    <w:lvl w:ilvl="2" w:tplc="08090003">
      <w:start w:val="1"/>
      <w:numFmt w:val="bullet"/>
      <w:lvlText w:val="o"/>
      <w:lvlJc w:val="left"/>
      <w:pPr>
        <w:ind w:left="1800" w:hanging="360"/>
      </w:pPr>
      <w:rPr>
        <w:rFonts w:ascii="Courier New" w:hAnsi="Courier New" w:cs="Courier New"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nsid w:val="75DE129E"/>
    <w:multiLevelType w:val="hybridMultilevel"/>
    <w:tmpl w:val="17E2A3A8"/>
    <w:lvl w:ilvl="0" w:tplc="0C090001">
      <w:start w:val="1"/>
      <w:numFmt w:val="bullet"/>
      <w:lvlText w:val=""/>
      <w:lvlJc w:val="left"/>
      <w:pPr>
        <w:ind w:left="202" w:hanging="360"/>
      </w:pPr>
      <w:rPr>
        <w:rFonts w:ascii="Symbol" w:hAnsi="Symbol" w:hint="default"/>
      </w:rPr>
    </w:lvl>
    <w:lvl w:ilvl="1" w:tplc="0C090003" w:tentative="1">
      <w:start w:val="1"/>
      <w:numFmt w:val="bullet"/>
      <w:lvlText w:val="o"/>
      <w:lvlJc w:val="left"/>
      <w:pPr>
        <w:ind w:left="922" w:hanging="360"/>
      </w:pPr>
      <w:rPr>
        <w:rFonts w:ascii="Courier New" w:hAnsi="Courier New" w:cs="Courier New" w:hint="default"/>
      </w:rPr>
    </w:lvl>
    <w:lvl w:ilvl="2" w:tplc="0C090005" w:tentative="1">
      <w:start w:val="1"/>
      <w:numFmt w:val="bullet"/>
      <w:lvlText w:val=""/>
      <w:lvlJc w:val="left"/>
      <w:pPr>
        <w:ind w:left="1642" w:hanging="360"/>
      </w:pPr>
      <w:rPr>
        <w:rFonts w:ascii="Wingdings" w:hAnsi="Wingdings" w:hint="default"/>
      </w:rPr>
    </w:lvl>
    <w:lvl w:ilvl="3" w:tplc="0C090001" w:tentative="1">
      <w:start w:val="1"/>
      <w:numFmt w:val="bullet"/>
      <w:lvlText w:val=""/>
      <w:lvlJc w:val="left"/>
      <w:pPr>
        <w:ind w:left="2362" w:hanging="360"/>
      </w:pPr>
      <w:rPr>
        <w:rFonts w:ascii="Symbol" w:hAnsi="Symbol" w:hint="default"/>
      </w:rPr>
    </w:lvl>
    <w:lvl w:ilvl="4" w:tplc="0C090003" w:tentative="1">
      <w:start w:val="1"/>
      <w:numFmt w:val="bullet"/>
      <w:lvlText w:val="o"/>
      <w:lvlJc w:val="left"/>
      <w:pPr>
        <w:ind w:left="3082" w:hanging="360"/>
      </w:pPr>
      <w:rPr>
        <w:rFonts w:ascii="Courier New" w:hAnsi="Courier New" w:cs="Courier New" w:hint="default"/>
      </w:rPr>
    </w:lvl>
    <w:lvl w:ilvl="5" w:tplc="0C090005" w:tentative="1">
      <w:start w:val="1"/>
      <w:numFmt w:val="bullet"/>
      <w:lvlText w:val=""/>
      <w:lvlJc w:val="left"/>
      <w:pPr>
        <w:ind w:left="3802" w:hanging="360"/>
      </w:pPr>
      <w:rPr>
        <w:rFonts w:ascii="Wingdings" w:hAnsi="Wingdings" w:hint="default"/>
      </w:rPr>
    </w:lvl>
    <w:lvl w:ilvl="6" w:tplc="0C090001" w:tentative="1">
      <w:start w:val="1"/>
      <w:numFmt w:val="bullet"/>
      <w:lvlText w:val=""/>
      <w:lvlJc w:val="left"/>
      <w:pPr>
        <w:ind w:left="4522" w:hanging="360"/>
      </w:pPr>
      <w:rPr>
        <w:rFonts w:ascii="Symbol" w:hAnsi="Symbol" w:hint="default"/>
      </w:rPr>
    </w:lvl>
    <w:lvl w:ilvl="7" w:tplc="0C090003" w:tentative="1">
      <w:start w:val="1"/>
      <w:numFmt w:val="bullet"/>
      <w:lvlText w:val="o"/>
      <w:lvlJc w:val="left"/>
      <w:pPr>
        <w:ind w:left="5242" w:hanging="360"/>
      </w:pPr>
      <w:rPr>
        <w:rFonts w:ascii="Courier New" w:hAnsi="Courier New" w:cs="Courier New" w:hint="default"/>
      </w:rPr>
    </w:lvl>
    <w:lvl w:ilvl="8" w:tplc="0C090005" w:tentative="1">
      <w:start w:val="1"/>
      <w:numFmt w:val="bullet"/>
      <w:lvlText w:val=""/>
      <w:lvlJc w:val="left"/>
      <w:pPr>
        <w:ind w:left="5962" w:hanging="360"/>
      </w:pPr>
      <w:rPr>
        <w:rFonts w:ascii="Wingdings" w:hAnsi="Wingdings" w:hint="default"/>
      </w:rPr>
    </w:lvl>
  </w:abstractNum>
  <w:abstractNum w:abstractNumId="16">
    <w:nsid w:val="7CDF3DB1"/>
    <w:multiLevelType w:val="hybridMultilevel"/>
    <w:tmpl w:val="00F038B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5"/>
  </w:num>
  <w:num w:numId="2">
    <w:abstractNumId w:val="8"/>
  </w:num>
  <w:num w:numId="3">
    <w:abstractNumId w:val="10"/>
  </w:num>
  <w:num w:numId="4">
    <w:abstractNumId w:val="1"/>
  </w:num>
  <w:num w:numId="5">
    <w:abstractNumId w:val="11"/>
  </w:num>
  <w:num w:numId="6">
    <w:abstractNumId w:val="3"/>
  </w:num>
  <w:num w:numId="7">
    <w:abstractNumId w:val="6"/>
  </w:num>
  <w:num w:numId="8">
    <w:abstractNumId w:val="9"/>
  </w:num>
  <w:num w:numId="9">
    <w:abstractNumId w:val="7"/>
  </w:num>
  <w:num w:numId="10">
    <w:abstractNumId w:val="13"/>
  </w:num>
  <w:num w:numId="11">
    <w:abstractNumId w:val="12"/>
  </w:num>
  <w:num w:numId="12">
    <w:abstractNumId w:val="14"/>
  </w:num>
  <w:num w:numId="13">
    <w:abstractNumId w:val="15"/>
  </w:num>
  <w:num w:numId="14">
    <w:abstractNumId w:val="4"/>
  </w:num>
  <w:num w:numId="15">
    <w:abstractNumId w:val="16"/>
  </w:num>
  <w:num w:numId="16">
    <w:abstractNumId w:val="0"/>
  </w:num>
  <w:num w:numId="17">
    <w:abstractNumId w:val="5"/>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4A5D"/>
    <w:rsid w:val="00040C03"/>
    <w:rsid w:val="000434B7"/>
    <w:rsid w:val="000559AF"/>
    <w:rsid w:val="0008123E"/>
    <w:rsid w:val="000A10ED"/>
    <w:rsid w:val="000F440B"/>
    <w:rsid w:val="00164D6A"/>
    <w:rsid w:val="001C5086"/>
    <w:rsid w:val="001D7D9A"/>
    <w:rsid w:val="001E0797"/>
    <w:rsid w:val="001F3B6A"/>
    <w:rsid w:val="001F7B08"/>
    <w:rsid w:val="001F7FEF"/>
    <w:rsid w:val="00211EDD"/>
    <w:rsid w:val="00254EFA"/>
    <w:rsid w:val="00255203"/>
    <w:rsid w:val="0027292C"/>
    <w:rsid w:val="00297991"/>
    <w:rsid w:val="002C0A85"/>
    <w:rsid w:val="002C767C"/>
    <w:rsid w:val="00324F7D"/>
    <w:rsid w:val="00335778"/>
    <w:rsid w:val="0035656F"/>
    <w:rsid w:val="0039615D"/>
    <w:rsid w:val="003A0F58"/>
    <w:rsid w:val="003A193E"/>
    <w:rsid w:val="003C18BB"/>
    <w:rsid w:val="003C4407"/>
    <w:rsid w:val="00444308"/>
    <w:rsid w:val="00481D23"/>
    <w:rsid w:val="00487F73"/>
    <w:rsid w:val="004A2494"/>
    <w:rsid w:val="004C1CD4"/>
    <w:rsid w:val="004D460D"/>
    <w:rsid w:val="004E3A8C"/>
    <w:rsid w:val="00515512"/>
    <w:rsid w:val="00531B46"/>
    <w:rsid w:val="00535925"/>
    <w:rsid w:val="00536CEE"/>
    <w:rsid w:val="00590CCC"/>
    <w:rsid w:val="005A6883"/>
    <w:rsid w:val="005B3132"/>
    <w:rsid w:val="005C62C8"/>
    <w:rsid w:val="005E12C0"/>
    <w:rsid w:val="00605034"/>
    <w:rsid w:val="006422C0"/>
    <w:rsid w:val="00684034"/>
    <w:rsid w:val="00695B79"/>
    <w:rsid w:val="006A0CC1"/>
    <w:rsid w:val="006E0F91"/>
    <w:rsid w:val="006F7924"/>
    <w:rsid w:val="00723484"/>
    <w:rsid w:val="00723754"/>
    <w:rsid w:val="007466DA"/>
    <w:rsid w:val="00771495"/>
    <w:rsid w:val="00794CA8"/>
    <w:rsid w:val="007A7E91"/>
    <w:rsid w:val="007B0AE3"/>
    <w:rsid w:val="007D6F3D"/>
    <w:rsid w:val="007E26E2"/>
    <w:rsid w:val="007E4668"/>
    <w:rsid w:val="008773C7"/>
    <w:rsid w:val="00882D25"/>
    <w:rsid w:val="008A1D29"/>
    <w:rsid w:val="008A4F89"/>
    <w:rsid w:val="008B3CE5"/>
    <w:rsid w:val="008C6BB3"/>
    <w:rsid w:val="008D5104"/>
    <w:rsid w:val="008F0833"/>
    <w:rsid w:val="00907F18"/>
    <w:rsid w:val="00910497"/>
    <w:rsid w:val="00952304"/>
    <w:rsid w:val="00961696"/>
    <w:rsid w:val="0097360E"/>
    <w:rsid w:val="009A03A3"/>
    <w:rsid w:val="009D0931"/>
    <w:rsid w:val="009F78D7"/>
    <w:rsid w:val="00A50D59"/>
    <w:rsid w:val="00A84AE3"/>
    <w:rsid w:val="00AA2044"/>
    <w:rsid w:val="00AA4A5D"/>
    <w:rsid w:val="00AA4E58"/>
    <w:rsid w:val="00AB0B89"/>
    <w:rsid w:val="00B00695"/>
    <w:rsid w:val="00B10362"/>
    <w:rsid w:val="00B34D8E"/>
    <w:rsid w:val="00B4784D"/>
    <w:rsid w:val="00BC2299"/>
    <w:rsid w:val="00BC39F5"/>
    <w:rsid w:val="00BF0F7D"/>
    <w:rsid w:val="00C4377D"/>
    <w:rsid w:val="00C5499B"/>
    <w:rsid w:val="00C76451"/>
    <w:rsid w:val="00C76557"/>
    <w:rsid w:val="00C8768A"/>
    <w:rsid w:val="00C9267B"/>
    <w:rsid w:val="00CB364F"/>
    <w:rsid w:val="00CB562C"/>
    <w:rsid w:val="00CD6ACB"/>
    <w:rsid w:val="00CE449F"/>
    <w:rsid w:val="00CE5D09"/>
    <w:rsid w:val="00D02624"/>
    <w:rsid w:val="00D4383E"/>
    <w:rsid w:val="00DB1E64"/>
    <w:rsid w:val="00DD4F44"/>
    <w:rsid w:val="00E10ADC"/>
    <w:rsid w:val="00E156A4"/>
    <w:rsid w:val="00E36FC5"/>
    <w:rsid w:val="00EA31DD"/>
    <w:rsid w:val="00EA47D6"/>
    <w:rsid w:val="00ED2ED0"/>
    <w:rsid w:val="00ED7609"/>
    <w:rsid w:val="00EE2F62"/>
    <w:rsid w:val="00F016DD"/>
    <w:rsid w:val="00F15162"/>
    <w:rsid w:val="00F423EB"/>
    <w:rsid w:val="00F453B2"/>
    <w:rsid w:val="00F548F9"/>
    <w:rsid w:val="00F75A4A"/>
    <w:rsid w:val="00F83165"/>
    <w:rsid w:val="00FE5550"/>
    <w:rsid w:val="00FF15F1"/>
    <w:rsid w:val="00FF485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4A5D"/>
    <w:pPr>
      <w:spacing w:after="0" w:line="240" w:lineRule="auto"/>
    </w:pPr>
    <w:rPr>
      <w:rFonts w:ascii="Times New Roman" w:eastAsia="SimSun" w:hAnsi="Times New Roman" w:cs="Times New Roman"/>
      <w:sz w:val="24"/>
      <w:szCs w:val="24"/>
      <w:lang w:val="en-US" w:eastAsia="zh-CN"/>
    </w:rPr>
  </w:style>
  <w:style w:type="paragraph" w:styleId="Heading1">
    <w:name w:val="heading 1"/>
    <w:basedOn w:val="Normal"/>
    <w:next w:val="Normal"/>
    <w:link w:val="Heading1Char"/>
    <w:qFormat/>
    <w:rsid w:val="00AA4A5D"/>
    <w:pPr>
      <w:keepNext/>
      <w:numPr>
        <w:numId w:val="1"/>
      </w:numPr>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AA4A5D"/>
    <w:pPr>
      <w:keepNext/>
      <w:numPr>
        <w:ilvl w:val="1"/>
        <w:numId w:val="1"/>
      </w:numPr>
      <w:outlineLvl w:val="1"/>
    </w:pPr>
    <w:rPr>
      <w:rFonts w:ascii="Arial" w:eastAsia="MS Gothic"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A4A5D"/>
    <w:rPr>
      <w:rFonts w:ascii="Arial" w:eastAsia="SimSun" w:hAnsi="Arial" w:cs="Arial"/>
      <w:b/>
      <w:bCs/>
      <w:kern w:val="32"/>
      <w:sz w:val="32"/>
      <w:szCs w:val="32"/>
      <w:lang w:val="en-US" w:eastAsia="zh-CN"/>
    </w:rPr>
  </w:style>
  <w:style w:type="character" w:customStyle="1" w:styleId="Heading2Char">
    <w:name w:val="Heading 2 Char"/>
    <w:basedOn w:val="DefaultParagraphFont"/>
    <w:link w:val="Heading2"/>
    <w:rsid w:val="00AA4A5D"/>
    <w:rPr>
      <w:rFonts w:ascii="Arial" w:eastAsia="MS Gothic" w:hAnsi="Arial" w:cs="Times New Roman"/>
      <w:sz w:val="24"/>
      <w:szCs w:val="24"/>
      <w:lang w:val="en-US"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A4A5D"/>
    <w:pPr>
      <w:tabs>
        <w:tab w:val="center" w:pos="4320"/>
        <w:tab w:val="right" w:pos="864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A4A5D"/>
    <w:rPr>
      <w:rFonts w:ascii="Times New Roman" w:eastAsia="SimSun" w:hAnsi="Times New Roman" w:cs="Times New Roman"/>
      <w:sz w:val="24"/>
      <w:szCs w:val="24"/>
      <w:lang w:val="en-US" w:eastAsia="zh-CN"/>
    </w:rPr>
  </w:style>
  <w:style w:type="paragraph" w:styleId="ListParagraph">
    <w:name w:val="List Paragraph"/>
    <w:basedOn w:val="Normal"/>
    <w:uiPriority w:val="34"/>
    <w:qFormat/>
    <w:rsid w:val="00F83165"/>
    <w:pPr>
      <w:ind w:left="720"/>
    </w:pPr>
    <w:rPr>
      <w:rFonts w:ascii="Calibri" w:eastAsiaTheme="minorHAnsi" w:hAnsi="Calibri"/>
      <w:sz w:val="22"/>
      <w:szCs w:val="22"/>
      <w:lang w:val="en-AU" w:eastAsia="en-AU"/>
    </w:rPr>
  </w:style>
  <w:style w:type="character" w:styleId="Hyperlink">
    <w:name w:val="Hyperlink"/>
    <w:basedOn w:val="DefaultParagraphFont"/>
    <w:uiPriority w:val="99"/>
    <w:unhideWhenUsed/>
    <w:rsid w:val="00794CA8"/>
    <w:rPr>
      <w:color w:val="0000FF" w:themeColor="hyperlink"/>
      <w:u w:val="single"/>
    </w:rPr>
  </w:style>
  <w:style w:type="paragraph" w:styleId="Caption">
    <w:name w:val="caption"/>
    <w:aliases w:val="cap,図表番号 Char,cap1,cap2,cap3,cap11,図表番号 Char1,cap Char1,cap21,cap4,cap12,図表番号 Char2,cap Char2,cap22,cap5,cap13,図表番号 Char3,cap Char3,cap23,cap6,cap14,図表番号 Char4,cap Char4,cap24,cap7,cap15,図表番号 Char5,cap Char5,cap25,cap8,cap16,図表番号 Char6"/>
    <w:basedOn w:val="Normal"/>
    <w:next w:val="Normal"/>
    <w:link w:val="CaptionChar"/>
    <w:qFormat/>
    <w:rsid w:val="00164D6A"/>
    <w:pPr>
      <w:keepNext/>
      <w:keepLines/>
      <w:spacing w:before="120" w:after="120"/>
      <w:jc w:val="center"/>
    </w:pPr>
    <w:rPr>
      <w:rFonts w:ascii="Arial" w:eastAsia="Times New Roman" w:hAnsi="Arial"/>
      <w:b/>
      <w:sz w:val="22"/>
      <w:szCs w:val="20"/>
      <w:lang w:val="en-GB" w:eastAsia="ja-JP"/>
    </w:rPr>
  </w:style>
  <w:style w:type="character" w:customStyle="1" w:styleId="CaptionChar">
    <w:name w:val="Caption Char"/>
    <w:aliases w:val="cap Char,図表番号 Char Char,cap1 Char,cap2 Char,cap3 Char,cap11 Char,図表番号 Char1 Char,cap Char1 Char,cap21 Char,cap4 Char,cap12 Char,図表番号 Char2 Char,cap Char2 Char,cap22 Char,cap5 Char,cap13 Char,図表番号 Char3 Char,cap Char3 Char,cap23 Char"/>
    <w:link w:val="Caption"/>
    <w:rsid w:val="00164D6A"/>
    <w:rPr>
      <w:rFonts w:ascii="Arial" w:eastAsia="Times New Roman" w:hAnsi="Arial" w:cs="Times New Roman"/>
      <w:b/>
      <w:szCs w:val="20"/>
      <w:lang w:val="en-GB" w:eastAsia="ja-JP"/>
    </w:rPr>
  </w:style>
  <w:style w:type="paragraph" w:styleId="BalloonText">
    <w:name w:val="Balloon Text"/>
    <w:basedOn w:val="Normal"/>
    <w:link w:val="BalloonTextChar"/>
    <w:uiPriority w:val="99"/>
    <w:semiHidden/>
    <w:unhideWhenUsed/>
    <w:rsid w:val="00164D6A"/>
    <w:rPr>
      <w:rFonts w:ascii="Tahoma" w:hAnsi="Tahoma" w:cs="Tahoma"/>
      <w:sz w:val="16"/>
      <w:szCs w:val="16"/>
    </w:rPr>
  </w:style>
  <w:style w:type="character" w:customStyle="1" w:styleId="BalloonTextChar">
    <w:name w:val="Balloon Text Char"/>
    <w:basedOn w:val="DefaultParagraphFont"/>
    <w:link w:val="BalloonText"/>
    <w:uiPriority w:val="99"/>
    <w:semiHidden/>
    <w:rsid w:val="00164D6A"/>
    <w:rPr>
      <w:rFonts w:ascii="Tahoma" w:eastAsia="SimSun" w:hAnsi="Tahoma" w:cs="Tahoma"/>
      <w:sz w:val="16"/>
      <w:szCs w:val="16"/>
      <w:lang w:val="en-US" w:eastAsia="zh-CN"/>
    </w:rPr>
  </w:style>
  <w:style w:type="paragraph" w:styleId="PlainText">
    <w:name w:val="Plain Text"/>
    <w:basedOn w:val="Normal"/>
    <w:link w:val="PlainTextChar"/>
    <w:uiPriority w:val="99"/>
    <w:semiHidden/>
    <w:unhideWhenUsed/>
    <w:rsid w:val="00531B46"/>
    <w:rPr>
      <w:rFonts w:ascii="Calibri" w:eastAsiaTheme="minorHAnsi" w:hAnsi="Calibri" w:cstheme="minorBidi"/>
      <w:sz w:val="22"/>
      <w:szCs w:val="21"/>
      <w:lang w:val="en-AU" w:eastAsia="en-US"/>
    </w:rPr>
  </w:style>
  <w:style w:type="character" w:customStyle="1" w:styleId="PlainTextChar">
    <w:name w:val="Plain Text Char"/>
    <w:basedOn w:val="DefaultParagraphFont"/>
    <w:link w:val="PlainText"/>
    <w:uiPriority w:val="99"/>
    <w:semiHidden/>
    <w:rsid w:val="00531B46"/>
    <w:rPr>
      <w:rFonts w:ascii="Calibri" w:hAnsi="Calibri"/>
      <w:szCs w:val="21"/>
    </w:rPr>
  </w:style>
  <w:style w:type="character" w:styleId="FollowedHyperlink">
    <w:name w:val="FollowedHyperlink"/>
    <w:basedOn w:val="DefaultParagraphFont"/>
    <w:uiPriority w:val="99"/>
    <w:semiHidden/>
    <w:unhideWhenUsed/>
    <w:rsid w:val="00AB0B89"/>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4A5D"/>
    <w:pPr>
      <w:spacing w:after="0" w:line="240" w:lineRule="auto"/>
    </w:pPr>
    <w:rPr>
      <w:rFonts w:ascii="Times New Roman" w:eastAsia="SimSun" w:hAnsi="Times New Roman" w:cs="Times New Roman"/>
      <w:sz w:val="24"/>
      <w:szCs w:val="24"/>
      <w:lang w:val="en-US" w:eastAsia="zh-CN"/>
    </w:rPr>
  </w:style>
  <w:style w:type="paragraph" w:styleId="Heading1">
    <w:name w:val="heading 1"/>
    <w:basedOn w:val="Normal"/>
    <w:next w:val="Normal"/>
    <w:link w:val="Heading1Char"/>
    <w:qFormat/>
    <w:rsid w:val="00AA4A5D"/>
    <w:pPr>
      <w:keepNext/>
      <w:numPr>
        <w:numId w:val="1"/>
      </w:numPr>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AA4A5D"/>
    <w:pPr>
      <w:keepNext/>
      <w:numPr>
        <w:ilvl w:val="1"/>
        <w:numId w:val="1"/>
      </w:numPr>
      <w:outlineLvl w:val="1"/>
    </w:pPr>
    <w:rPr>
      <w:rFonts w:ascii="Arial" w:eastAsia="MS Gothic"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A4A5D"/>
    <w:rPr>
      <w:rFonts w:ascii="Arial" w:eastAsia="SimSun" w:hAnsi="Arial" w:cs="Arial"/>
      <w:b/>
      <w:bCs/>
      <w:kern w:val="32"/>
      <w:sz w:val="32"/>
      <w:szCs w:val="32"/>
      <w:lang w:val="en-US" w:eastAsia="zh-CN"/>
    </w:rPr>
  </w:style>
  <w:style w:type="character" w:customStyle="1" w:styleId="Heading2Char">
    <w:name w:val="Heading 2 Char"/>
    <w:basedOn w:val="DefaultParagraphFont"/>
    <w:link w:val="Heading2"/>
    <w:rsid w:val="00AA4A5D"/>
    <w:rPr>
      <w:rFonts w:ascii="Arial" w:eastAsia="MS Gothic" w:hAnsi="Arial" w:cs="Times New Roman"/>
      <w:sz w:val="24"/>
      <w:szCs w:val="24"/>
      <w:lang w:val="en-US"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A4A5D"/>
    <w:pPr>
      <w:tabs>
        <w:tab w:val="center" w:pos="4320"/>
        <w:tab w:val="right" w:pos="864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A4A5D"/>
    <w:rPr>
      <w:rFonts w:ascii="Times New Roman" w:eastAsia="SimSun" w:hAnsi="Times New Roman" w:cs="Times New Roman"/>
      <w:sz w:val="24"/>
      <w:szCs w:val="24"/>
      <w:lang w:val="en-US" w:eastAsia="zh-CN"/>
    </w:rPr>
  </w:style>
  <w:style w:type="paragraph" w:styleId="ListParagraph">
    <w:name w:val="List Paragraph"/>
    <w:basedOn w:val="Normal"/>
    <w:uiPriority w:val="34"/>
    <w:qFormat/>
    <w:rsid w:val="00F83165"/>
    <w:pPr>
      <w:ind w:left="720"/>
    </w:pPr>
    <w:rPr>
      <w:rFonts w:ascii="Calibri" w:eastAsiaTheme="minorHAnsi" w:hAnsi="Calibri"/>
      <w:sz w:val="22"/>
      <w:szCs w:val="22"/>
      <w:lang w:val="en-AU" w:eastAsia="en-AU"/>
    </w:rPr>
  </w:style>
  <w:style w:type="character" w:styleId="Hyperlink">
    <w:name w:val="Hyperlink"/>
    <w:basedOn w:val="DefaultParagraphFont"/>
    <w:uiPriority w:val="99"/>
    <w:unhideWhenUsed/>
    <w:rsid w:val="00794CA8"/>
    <w:rPr>
      <w:color w:val="0000FF" w:themeColor="hyperlink"/>
      <w:u w:val="single"/>
    </w:rPr>
  </w:style>
  <w:style w:type="paragraph" w:styleId="Caption">
    <w:name w:val="caption"/>
    <w:aliases w:val="cap,図表番号 Char,cap1,cap2,cap3,cap11,図表番号 Char1,cap Char1,cap21,cap4,cap12,図表番号 Char2,cap Char2,cap22,cap5,cap13,図表番号 Char3,cap Char3,cap23,cap6,cap14,図表番号 Char4,cap Char4,cap24,cap7,cap15,図表番号 Char5,cap Char5,cap25,cap8,cap16,図表番号 Char6"/>
    <w:basedOn w:val="Normal"/>
    <w:next w:val="Normal"/>
    <w:link w:val="CaptionChar"/>
    <w:qFormat/>
    <w:rsid w:val="00164D6A"/>
    <w:pPr>
      <w:keepNext/>
      <w:keepLines/>
      <w:spacing w:before="120" w:after="120"/>
      <w:jc w:val="center"/>
    </w:pPr>
    <w:rPr>
      <w:rFonts w:ascii="Arial" w:eastAsia="Times New Roman" w:hAnsi="Arial"/>
      <w:b/>
      <w:sz w:val="22"/>
      <w:szCs w:val="20"/>
      <w:lang w:val="en-GB" w:eastAsia="ja-JP"/>
    </w:rPr>
  </w:style>
  <w:style w:type="character" w:customStyle="1" w:styleId="CaptionChar">
    <w:name w:val="Caption Char"/>
    <w:aliases w:val="cap Char,図表番号 Char Char,cap1 Char,cap2 Char,cap3 Char,cap11 Char,図表番号 Char1 Char,cap Char1 Char,cap21 Char,cap4 Char,cap12 Char,図表番号 Char2 Char,cap Char2 Char,cap22 Char,cap5 Char,cap13 Char,図表番号 Char3 Char,cap Char3 Char,cap23 Char"/>
    <w:link w:val="Caption"/>
    <w:rsid w:val="00164D6A"/>
    <w:rPr>
      <w:rFonts w:ascii="Arial" w:eastAsia="Times New Roman" w:hAnsi="Arial" w:cs="Times New Roman"/>
      <w:b/>
      <w:szCs w:val="20"/>
      <w:lang w:val="en-GB" w:eastAsia="ja-JP"/>
    </w:rPr>
  </w:style>
  <w:style w:type="paragraph" w:styleId="BalloonText">
    <w:name w:val="Balloon Text"/>
    <w:basedOn w:val="Normal"/>
    <w:link w:val="BalloonTextChar"/>
    <w:uiPriority w:val="99"/>
    <w:semiHidden/>
    <w:unhideWhenUsed/>
    <w:rsid w:val="00164D6A"/>
    <w:rPr>
      <w:rFonts w:ascii="Tahoma" w:hAnsi="Tahoma" w:cs="Tahoma"/>
      <w:sz w:val="16"/>
      <w:szCs w:val="16"/>
    </w:rPr>
  </w:style>
  <w:style w:type="character" w:customStyle="1" w:styleId="BalloonTextChar">
    <w:name w:val="Balloon Text Char"/>
    <w:basedOn w:val="DefaultParagraphFont"/>
    <w:link w:val="BalloonText"/>
    <w:uiPriority w:val="99"/>
    <w:semiHidden/>
    <w:rsid w:val="00164D6A"/>
    <w:rPr>
      <w:rFonts w:ascii="Tahoma" w:eastAsia="SimSun" w:hAnsi="Tahoma" w:cs="Tahoma"/>
      <w:sz w:val="16"/>
      <w:szCs w:val="16"/>
      <w:lang w:val="en-US" w:eastAsia="zh-CN"/>
    </w:rPr>
  </w:style>
  <w:style w:type="paragraph" w:styleId="PlainText">
    <w:name w:val="Plain Text"/>
    <w:basedOn w:val="Normal"/>
    <w:link w:val="PlainTextChar"/>
    <w:uiPriority w:val="99"/>
    <w:semiHidden/>
    <w:unhideWhenUsed/>
    <w:rsid w:val="00531B46"/>
    <w:rPr>
      <w:rFonts w:ascii="Calibri" w:eastAsiaTheme="minorHAnsi" w:hAnsi="Calibri" w:cstheme="minorBidi"/>
      <w:sz w:val="22"/>
      <w:szCs w:val="21"/>
      <w:lang w:val="en-AU" w:eastAsia="en-US"/>
    </w:rPr>
  </w:style>
  <w:style w:type="character" w:customStyle="1" w:styleId="PlainTextChar">
    <w:name w:val="Plain Text Char"/>
    <w:basedOn w:val="DefaultParagraphFont"/>
    <w:link w:val="PlainText"/>
    <w:uiPriority w:val="99"/>
    <w:semiHidden/>
    <w:rsid w:val="00531B46"/>
    <w:rPr>
      <w:rFonts w:ascii="Calibri" w:hAnsi="Calibri"/>
      <w:szCs w:val="21"/>
    </w:rPr>
  </w:style>
  <w:style w:type="character" w:styleId="FollowedHyperlink">
    <w:name w:val="FollowedHyperlink"/>
    <w:basedOn w:val="DefaultParagraphFont"/>
    <w:uiPriority w:val="99"/>
    <w:semiHidden/>
    <w:unhideWhenUsed/>
    <w:rsid w:val="00AB0B8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7375889">
      <w:bodyDiv w:val="1"/>
      <w:marLeft w:val="0"/>
      <w:marRight w:val="0"/>
      <w:marTop w:val="0"/>
      <w:marBottom w:val="0"/>
      <w:divBdr>
        <w:top w:val="none" w:sz="0" w:space="0" w:color="auto"/>
        <w:left w:val="none" w:sz="0" w:space="0" w:color="auto"/>
        <w:bottom w:val="none" w:sz="0" w:space="0" w:color="auto"/>
        <w:right w:val="none" w:sz="0" w:space="0" w:color="auto"/>
      </w:divBdr>
    </w:div>
    <w:div w:id="183626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0020A6-CC0A-4308-92A1-8DE1AC1F4C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1164</TotalTime>
  <Pages>1</Pages>
  <Words>1750</Words>
  <Characters>9975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NEC Australia Pty Ltd</Company>
  <LinksUpToDate>false</LinksUpToDate>
  <CharactersWithSpaces>11702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NEC</cp:lastModifiedBy>
  <cp:revision>52</cp:revision>
  <cp:lastPrinted>2015-05-15T03:48:00Z</cp:lastPrinted>
  <dcterms:created xsi:type="dcterms:W3CDTF">2015-05-13T01:21:00Z</dcterms:created>
  <dcterms:modified xsi:type="dcterms:W3CDTF">2015-05-15T03:48:00Z</dcterms:modified>
</cp:coreProperties>
</file>